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51336" w:rsidRDefault="00951336" w:rsidP="0017119F">
      <w:pPr>
        <w:spacing w:line="360" w:lineRule="auto"/>
        <w:rPr>
          <w:rFonts w:ascii="Arial" w:hAnsi="Arial" w:cs="Arial"/>
          <w:b/>
        </w:rPr>
      </w:pPr>
      <w:r>
        <w:rPr>
          <w:rFonts w:ascii="Arial" w:hAnsi="Arial" w:cs="Arial"/>
          <w:b/>
        </w:rPr>
        <w:t xml:space="preserve">Supplementary Text ST1. </w:t>
      </w:r>
    </w:p>
    <w:p w:rsidR="00473DA4" w:rsidRPr="0023671E" w:rsidRDefault="000170AE" w:rsidP="0017119F">
      <w:pPr>
        <w:autoSpaceDE w:val="0"/>
        <w:autoSpaceDN w:val="0"/>
        <w:adjustRightInd w:val="0"/>
        <w:spacing w:after="0" w:line="360" w:lineRule="auto"/>
        <w:rPr>
          <w:rFonts w:ascii="Arial" w:hAnsi="Arial" w:cs="Arial"/>
          <w:b/>
        </w:rPr>
      </w:pPr>
      <w:r>
        <w:rPr>
          <w:rFonts w:ascii="Arial" w:hAnsi="Arial" w:cs="Arial"/>
          <w:b/>
        </w:rPr>
        <w:t>Identification of s</w:t>
      </w:r>
      <w:r w:rsidR="0023671E" w:rsidRPr="0023671E">
        <w:rPr>
          <w:rFonts w:ascii="Arial" w:hAnsi="Arial" w:cs="Arial"/>
          <w:b/>
        </w:rPr>
        <w:t xml:space="preserve">tructural characteristics of 26 gene ontology enrichment analysis-defined genomic regulatory networks (GRNs) of the genomic dominion </w:t>
      </w:r>
      <w:r>
        <w:rPr>
          <w:rFonts w:ascii="Arial" w:hAnsi="Arial" w:cs="Arial"/>
          <w:b/>
        </w:rPr>
        <w:t xml:space="preserve">of human embryo regulatory LTRs </w:t>
      </w:r>
      <w:r w:rsidR="0023671E" w:rsidRPr="0023671E">
        <w:rPr>
          <w:rFonts w:ascii="Arial" w:hAnsi="Arial" w:cs="Arial"/>
          <w:b/>
        </w:rPr>
        <w:t xml:space="preserve">and </w:t>
      </w:r>
      <w:r>
        <w:rPr>
          <w:rFonts w:ascii="Arial" w:hAnsi="Arial" w:cs="Arial"/>
          <w:b/>
        </w:rPr>
        <w:t xml:space="preserve">descriptions of phenotypic traits  associated with </w:t>
      </w:r>
      <w:r w:rsidR="0023671E" w:rsidRPr="0023671E">
        <w:rPr>
          <w:rFonts w:ascii="Arial" w:hAnsi="Arial" w:cs="Arial"/>
          <w:b/>
        </w:rPr>
        <w:t>s</w:t>
      </w:r>
      <w:r w:rsidR="00473DA4" w:rsidRPr="0023671E">
        <w:rPr>
          <w:rFonts w:ascii="Arial" w:hAnsi="Arial" w:cs="Arial"/>
          <w:b/>
        </w:rPr>
        <w:t xml:space="preserve">elected examples of </w:t>
      </w:r>
      <w:r>
        <w:rPr>
          <w:rFonts w:ascii="Arial" w:hAnsi="Arial" w:cs="Arial"/>
          <w:b/>
        </w:rPr>
        <w:t>genomic regulatory modules (</w:t>
      </w:r>
      <w:r w:rsidR="00473DA4" w:rsidRPr="0023671E">
        <w:rPr>
          <w:rFonts w:ascii="Arial" w:hAnsi="Arial" w:cs="Arial"/>
          <w:b/>
        </w:rPr>
        <w:t>GRMs</w:t>
      </w:r>
      <w:r>
        <w:rPr>
          <w:rFonts w:ascii="Arial" w:hAnsi="Arial" w:cs="Arial"/>
          <w:b/>
        </w:rPr>
        <w:t>)</w:t>
      </w:r>
      <w:r w:rsidR="00473DA4" w:rsidRPr="0023671E">
        <w:rPr>
          <w:rFonts w:ascii="Arial" w:hAnsi="Arial" w:cs="Arial"/>
          <w:b/>
        </w:rPr>
        <w:t xml:space="preserve"> traits identified by GO analyses of specific regulatory LTR-governed GRNs. </w:t>
      </w:r>
    </w:p>
    <w:p w:rsidR="00951336" w:rsidRDefault="00951336" w:rsidP="0017119F">
      <w:pPr>
        <w:spacing w:line="360" w:lineRule="auto"/>
        <w:rPr>
          <w:rFonts w:ascii="Arial" w:hAnsi="Arial" w:cs="Arial"/>
          <w:b/>
        </w:rPr>
      </w:pPr>
    </w:p>
    <w:p w:rsidR="00473DA4" w:rsidRDefault="00473DA4" w:rsidP="0017119F">
      <w:pPr>
        <w:spacing w:line="360" w:lineRule="auto"/>
        <w:rPr>
          <w:rFonts w:ascii="Arial" w:hAnsi="Arial" w:cs="Arial"/>
          <w:b/>
        </w:rPr>
      </w:pPr>
      <w:r>
        <w:rPr>
          <w:rFonts w:ascii="Arial" w:hAnsi="Arial" w:cs="Arial"/>
          <w:b/>
        </w:rPr>
        <w:t xml:space="preserve">Manuscript title: </w:t>
      </w:r>
    </w:p>
    <w:p w:rsidR="00676801" w:rsidRDefault="00676801" w:rsidP="0017119F">
      <w:pPr>
        <w:spacing w:line="360" w:lineRule="auto"/>
        <w:rPr>
          <w:rFonts w:ascii="Arial" w:hAnsi="Arial" w:cs="Arial"/>
          <w:b/>
        </w:rPr>
      </w:pPr>
      <w:r>
        <w:rPr>
          <w:rFonts w:ascii="Arial" w:hAnsi="Arial" w:cs="Arial"/>
          <w:b/>
        </w:rPr>
        <w:t xml:space="preserve">Gene ontology-guided </w:t>
      </w:r>
      <w:r w:rsidR="002A0531">
        <w:rPr>
          <w:rFonts w:ascii="Arial" w:hAnsi="Arial" w:cs="Arial"/>
          <w:b/>
        </w:rPr>
        <w:t xml:space="preserve">proximity placement </w:t>
      </w:r>
      <w:r>
        <w:rPr>
          <w:rFonts w:ascii="Arial" w:hAnsi="Arial" w:cs="Arial"/>
          <w:b/>
        </w:rPr>
        <w:t>analyses of pan-primate regulatory LTR elements</w:t>
      </w:r>
      <w:r w:rsidR="002A0531">
        <w:rPr>
          <w:rFonts w:ascii="Arial" w:hAnsi="Arial" w:cs="Arial"/>
          <w:b/>
        </w:rPr>
        <w:t xml:space="preserve"> contributing to embryogenesis</w:t>
      </w:r>
      <w:r>
        <w:rPr>
          <w:rFonts w:ascii="Arial" w:hAnsi="Arial" w:cs="Arial"/>
          <w:b/>
        </w:rPr>
        <w:t>.</w:t>
      </w:r>
    </w:p>
    <w:p w:rsidR="00092EDF" w:rsidRPr="00715340" w:rsidRDefault="00092EDF" w:rsidP="0017119F">
      <w:pPr>
        <w:autoSpaceDE w:val="0"/>
        <w:autoSpaceDN w:val="0"/>
        <w:adjustRightInd w:val="0"/>
        <w:spacing w:after="0" w:line="360" w:lineRule="auto"/>
        <w:rPr>
          <w:rFonts w:ascii="Arial" w:hAnsi="Arial" w:cs="Arial"/>
        </w:rPr>
      </w:pPr>
      <w:proofErr w:type="spellStart"/>
      <w:r w:rsidRPr="00715340">
        <w:rPr>
          <w:rFonts w:ascii="Arial" w:hAnsi="Arial" w:cs="Arial"/>
        </w:rPr>
        <w:t>Gennadi</w:t>
      </w:r>
      <w:proofErr w:type="spellEnd"/>
      <w:r w:rsidRPr="00715340">
        <w:rPr>
          <w:rFonts w:ascii="Arial" w:hAnsi="Arial" w:cs="Arial"/>
        </w:rPr>
        <w:t xml:space="preserve"> V. Glinsky</w:t>
      </w:r>
      <w:r>
        <w:rPr>
          <w:rFonts w:ascii="Arial" w:hAnsi="Arial" w:cs="Arial"/>
          <w:vertAlign w:val="superscript"/>
        </w:rPr>
        <w:t>1</w:t>
      </w:r>
    </w:p>
    <w:p w:rsidR="00092EDF" w:rsidRPr="00715340" w:rsidRDefault="00092EDF" w:rsidP="0017119F">
      <w:pPr>
        <w:autoSpaceDE w:val="0"/>
        <w:autoSpaceDN w:val="0"/>
        <w:adjustRightInd w:val="0"/>
        <w:spacing w:after="0" w:line="360" w:lineRule="auto"/>
        <w:rPr>
          <w:rFonts w:ascii="Arial" w:hAnsi="Arial" w:cs="Arial"/>
        </w:rPr>
      </w:pPr>
      <w:r w:rsidRPr="00BF372D">
        <w:rPr>
          <w:rFonts w:ascii="Arial" w:hAnsi="Arial" w:cs="Arial"/>
          <w:vertAlign w:val="superscript"/>
        </w:rPr>
        <w:t>1</w:t>
      </w:r>
      <w:r w:rsidRPr="00715340">
        <w:rPr>
          <w:rFonts w:ascii="Arial" w:hAnsi="Arial" w:cs="Arial"/>
        </w:rPr>
        <w:t xml:space="preserve"> Institute of Engineering in Medicine</w:t>
      </w:r>
    </w:p>
    <w:p w:rsidR="00092EDF" w:rsidRPr="00715340" w:rsidRDefault="00092EDF" w:rsidP="0017119F">
      <w:pPr>
        <w:autoSpaceDE w:val="0"/>
        <w:autoSpaceDN w:val="0"/>
        <w:adjustRightInd w:val="0"/>
        <w:spacing w:after="0" w:line="360" w:lineRule="auto"/>
        <w:rPr>
          <w:rFonts w:ascii="Arial" w:hAnsi="Arial" w:cs="Arial"/>
        </w:rPr>
      </w:pPr>
      <w:r w:rsidRPr="00715340">
        <w:rPr>
          <w:rFonts w:ascii="Arial" w:hAnsi="Arial" w:cs="Arial"/>
        </w:rPr>
        <w:t>University of California, San Diego</w:t>
      </w:r>
    </w:p>
    <w:p w:rsidR="00092EDF" w:rsidRPr="00715340" w:rsidRDefault="00092EDF" w:rsidP="0017119F">
      <w:pPr>
        <w:autoSpaceDE w:val="0"/>
        <w:autoSpaceDN w:val="0"/>
        <w:adjustRightInd w:val="0"/>
        <w:spacing w:after="0" w:line="360" w:lineRule="auto"/>
        <w:rPr>
          <w:rFonts w:ascii="Arial" w:hAnsi="Arial" w:cs="Arial"/>
        </w:rPr>
      </w:pPr>
      <w:r w:rsidRPr="00715340">
        <w:rPr>
          <w:rFonts w:ascii="Arial" w:hAnsi="Arial" w:cs="Arial"/>
        </w:rPr>
        <w:t>9500 Gilman Dr. MC 0435</w:t>
      </w:r>
    </w:p>
    <w:p w:rsidR="00092EDF" w:rsidRPr="00715340" w:rsidRDefault="00092EDF" w:rsidP="0017119F">
      <w:pPr>
        <w:autoSpaceDE w:val="0"/>
        <w:autoSpaceDN w:val="0"/>
        <w:adjustRightInd w:val="0"/>
        <w:spacing w:after="0" w:line="360" w:lineRule="auto"/>
        <w:rPr>
          <w:rFonts w:ascii="Arial" w:hAnsi="Arial" w:cs="Arial"/>
        </w:rPr>
      </w:pPr>
      <w:r w:rsidRPr="00715340">
        <w:rPr>
          <w:rFonts w:ascii="Arial" w:hAnsi="Arial" w:cs="Arial"/>
        </w:rPr>
        <w:t>La Jolla, CA 92093-0435, USA</w:t>
      </w:r>
    </w:p>
    <w:p w:rsidR="00CD20E7" w:rsidRPr="00715340" w:rsidRDefault="00092EDF" w:rsidP="0017119F">
      <w:pPr>
        <w:autoSpaceDE w:val="0"/>
        <w:autoSpaceDN w:val="0"/>
        <w:adjustRightInd w:val="0"/>
        <w:spacing w:after="0" w:line="360" w:lineRule="auto"/>
        <w:rPr>
          <w:rFonts w:ascii="Arial" w:hAnsi="Arial" w:cs="Arial"/>
        </w:rPr>
      </w:pPr>
      <w:r w:rsidRPr="00715340">
        <w:rPr>
          <w:rFonts w:ascii="Arial" w:hAnsi="Arial" w:cs="Arial"/>
        </w:rPr>
        <w:t xml:space="preserve">Correspondence: </w:t>
      </w:r>
      <w:hyperlink r:id="rId7" w:history="1">
        <w:r w:rsidR="00CD20E7" w:rsidRPr="00FE5A95">
          <w:rPr>
            <w:rStyle w:val="Hyperlink"/>
            <w:rFonts w:ascii="Arial" w:hAnsi="Arial" w:cs="Arial"/>
          </w:rPr>
          <w:t>genlighttech@gmail.com</w:t>
        </w:r>
      </w:hyperlink>
      <w:r w:rsidR="00CD20E7">
        <w:rPr>
          <w:rFonts w:ascii="Arial" w:hAnsi="Arial" w:cs="Arial"/>
        </w:rPr>
        <w:t xml:space="preserve"> </w:t>
      </w:r>
    </w:p>
    <w:p w:rsidR="0053629C" w:rsidRDefault="0053629C" w:rsidP="0017119F">
      <w:pPr>
        <w:spacing w:line="360" w:lineRule="auto"/>
        <w:rPr>
          <w:rFonts w:ascii="Arial" w:hAnsi="Arial" w:cs="Arial"/>
          <w:b/>
        </w:rPr>
      </w:pPr>
    </w:p>
    <w:p w:rsidR="0053629C" w:rsidRDefault="0053629C" w:rsidP="0017119F">
      <w:pPr>
        <w:spacing w:line="360" w:lineRule="auto"/>
        <w:rPr>
          <w:rFonts w:ascii="Arial" w:hAnsi="Arial" w:cs="Arial"/>
          <w:b/>
        </w:rPr>
      </w:pPr>
    </w:p>
    <w:p w:rsidR="0053629C" w:rsidRDefault="0053629C" w:rsidP="0017119F">
      <w:pPr>
        <w:spacing w:line="360" w:lineRule="auto"/>
        <w:rPr>
          <w:rFonts w:ascii="Arial" w:hAnsi="Arial" w:cs="Arial"/>
          <w:b/>
        </w:rPr>
      </w:pPr>
    </w:p>
    <w:p w:rsidR="00C26929" w:rsidRDefault="00C26929" w:rsidP="0017119F">
      <w:pPr>
        <w:spacing w:line="360" w:lineRule="auto"/>
        <w:rPr>
          <w:rFonts w:ascii="Arial" w:hAnsi="Arial" w:cs="Arial"/>
          <w:b/>
        </w:rPr>
      </w:pPr>
    </w:p>
    <w:p w:rsidR="00C26929" w:rsidRDefault="00C26929" w:rsidP="0017119F">
      <w:pPr>
        <w:spacing w:line="360" w:lineRule="auto"/>
        <w:rPr>
          <w:rFonts w:ascii="Arial" w:hAnsi="Arial" w:cs="Arial"/>
          <w:b/>
        </w:rPr>
      </w:pPr>
    </w:p>
    <w:p w:rsidR="0017119F" w:rsidRDefault="0017119F" w:rsidP="0017119F">
      <w:pPr>
        <w:spacing w:line="360" w:lineRule="auto"/>
        <w:rPr>
          <w:rFonts w:ascii="Arial" w:hAnsi="Arial" w:cs="Arial"/>
          <w:b/>
        </w:rPr>
      </w:pPr>
    </w:p>
    <w:p w:rsidR="0017119F" w:rsidRDefault="0017119F" w:rsidP="0017119F">
      <w:pPr>
        <w:spacing w:line="360" w:lineRule="auto"/>
        <w:rPr>
          <w:rFonts w:ascii="Arial" w:hAnsi="Arial" w:cs="Arial"/>
          <w:b/>
        </w:rPr>
      </w:pPr>
    </w:p>
    <w:p w:rsidR="0017119F" w:rsidRDefault="0017119F" w:rsidP="0017119F">
      <w:pPr>
        <w:spacing w:line="360" w:lineRule="auto"/>
        <w:rPr>
          <w:rFonts w:ascii="Arial" w:hAnsi="Arial" w:cs="Arial"/>
          <w:b/>
        </w:rPr>
      </w:pPr>
      <w:bookmarkStart w:id="0" w:name="_GoBack"/>
      <w:bookmarkEnd w:id="0"/>
    </w:p>
    <w:p w:rsidR="000446B9" w:rsidRPr="0023671E" w:rsidRDefault="00282085" w:rsidP="0017119F">
      <w:pPr>
        <w:spacing w:line="360" w:lineRule="auto"/>
        <w:contextualSpacing/>
        <w:rPr>
          <w:rFonts w:ascii="Arial" w:hAnsi="Arial" w:cs="Arial"/>
        </w:rPr>
      </w:pPr>
      <w:r w:rsidRPr="00047FE2">
        <w:rPr>
          <w:rFonts w:ascii="Arial" w:hAnsi="Arial" w:cs="Arial"/>
          <w:b/>
        </w:rPr>
        <w:t>Key words:</w:t>
      </w:r>
      <w:r>
        <w:rPr>
          <w:rFonts w:ascii="Arial" w:hAnsi="Arial" w:cs="Arial"/>
        </w:rPr>
        <w:t xml:space="preserve"> </w:t>
      </w:r>
      <w:r w:rsidRPr="00B17CAA">
        <w:rPr>
          <w:rFonts w:ascii="Arial" w:hAnsi="Arial" w:cs="Arial"/>
        </w:rPr>
        <w:t>human endogenous retrovirus type H (HERVH); human endogenous retroviru</w:t>
      </w:r>
      <w:r>
        <w:rPr>
          <w:rFonts w:ascii="Arial" w:hAnsi="Arial" w:cs="Arial"/>
        </w:rPr>
        <w:t>s type L (HERVL</w:t>
      </w:r>
      <w:r w:rsidR="00DE409E">
        <w:rPr>
          <w:rFonts w:ascii="Arial" w:hAnsi="Arial" w:cs="Arial"/>
        </w:rPr>
        <w:t>); LTR7</w:t>
      </w:r>
      <w:r>
        <w:rPr>
          <w:rFonts w:ascii="Arial" w:hAnsi="Arial" w:cs="Arial"/>
        </w:rPr>
        <w:t>; MLT2A1; MLT2A2</w:t>
      </w:r>
      <w:r w:rsidRPr="00B17CAA">
        <w:rPr>
          <w:rFonts w:ascii="Arial" w:hAnsi="Arial" w:cs="Arial"/>
        </w:rPr>
        <w:t xml:space="preserve">; retrotransposition; primate evolution; </w:t>
      </w:r>
      <w:r>
        <w:rPr>
          <w:rFonts w:ascii="Arial" w:hAnsi="Arial" w:cs="Arial"/>
        </w:rPr>
        <w:t xml:space="preserve">mammalian </w:t>
      </w:r>
      <w:r w:rsidRPr="00B17CAA">
        <w:rPr>
          <w:rFonts w:ascii="Arial" w:hAnsi="Arial" w:cs="Arial"/>
        </w:rPr>
        <w:t xml:space="preserve">offspring survival genes; human embryogenesis; </w:t>
      </w:r>
      <w:r>
        <w:rPr>
          <w:rFonts w:ascii="Arial" w:hAnsi="Arial" w:cs="Arial"/>
        </w:rPr>
        <w:t xml:space="preserve">reduced fertility; infertility; </w:t>
      </w:r>
      <w:r w:rsidRPr="00B17CAA">
        <w:rPr>
          <w:rFonts w:ascii="Arial" w:hAnsi="Arial" w:cs="Arial"/>
        </w:rPr>
        <w:t>synaptic transmission; protein-protein interactions at synapses;</w:t>
      </w:r>
      <w:r>
        <w:rPr>
          <w:rFonts w:ascii="Arial" w:hAnsi="Arial" w:cs="Arial"/>
        </w:rPr>
        <w:t xml:space="preserve"> human endogenous </w:t>
      </w:r>
      <w:proofErr w:type="spellStart"/>
      <w:r>
        <w:rPr>
          <w:rFonts w:ascii="Arial" w:hAnsi="Arial" w:cs="Arial"/>
        </w:rPr>
        <w:t>complexomes</w:t>
      </w:r>
      <w:proofErr w:type="spellEnd"/>
      <w:r>
        <w:rPr>
          <w:rFonts w:ascii="Arial" w:hAnsi="Arial" w:cs="Arial"/>
        </w:rPr>
        <w:t>; viral-host protein-protein interactions; neoplasm metastasis; neurodevelopmental disorders; neurodegenerative diseases; human-specific phenotypic traits; human-specific regulatory sequences.</w:t>
      </w:r>
    </w:p>
    <w:p w:rsidR="00C337FF" w:rsidRPr="00E957BC" w:rsidRDefault="00C337FF" w:rsidP="0017119F">
      <w:pPr>
        <w:autoSpaceDE w:val="0"/>
        <w:autoSpaceDN w:val="0"/>
        <w:adjustRightInd w:val="0"/>
        <w:spacing w:after="0" w:line="360" w:lineRule="auto"/>
        <w:rPr>
          <w:rFonts w:ascii="Arial" w:hAnsi="Arial" w:cs="Arial"/>
          <w:b/>
        </w:rPr>
      </w:pPr>
      <w:r w:rsidRPr="00E957BC">
        <w:rPr>
          <w:rFonts w:ascii="Arial" w:hAnsi="Arial" w:cs="Arial"/>
          <w:b/>
        </w:rPr>
        <w:lastRenderedPageBreak/>
        <w:t>Identification and characterization o</w:t>
      </w:r>
      <w:r>
        <w:rPr>
          <w:rFonts w:ascii="Arial" w:hAnsi="Arial" w:cs="Arial"/>
          <w:b/>
        </w:rPr>
        <w:t>f 26</w:t>
      </w:r>
      <w:r w:rsidRPr="00E957BC">
        <w:rPr>
          <w:rFonts w:ascii="Arial" w:hAnsi="Arial" w:cs="Arial"/>
          <w:b/>
        </w:rPr>
        <w:t xml:space="preserve"> gene ontology-defined g</w:t>
      </w:r>
      <w:r>
        <w:rPr>
          <w:rFonts w:ascii="Arial" w:hAnsi="Arial" w:cs="Arial"/>
          <w:b/>
        </w:rPr>
        <w:t>enomic regulatory networks (GRNs) facilitating functions of</w:t>
      </w:r>
      <w:r w:rsidRPr="00E957BC">
        <w:rPr>
          <w:rFonts w:ascii="Arial" w:hAnsi="Arial" w:cs="Arial"/>
          <w:b/>
        </w:rPr>
        <w:t xml:space="preserve"> a genomic </w:t>
      </w:r>
      <w:r>
        <w:rPr>
          <w:rFonts w:ascii="Arial" w:hAnsi="Arial" w:cs="Arial"/>
          <w:b/>
        </w:rPr>
        <w:t xml:space="preserve">regulatory </w:t>
      </w:r>
      <w:r w:rsidRPr="00E957BC">
        <w:rPr>
          <w:rFonts w:ascii="Arial" w:hAnsi="Arial" w:cs="Arial"/>
          <w:b/>
        </w:rPr>
        <w:t xml:space="preserve">dominion </w:t>
      </w:r>
      <w:r>
        <w:rPr>
          <w:rFonts w:ascii="Arial" w:hAnsi="Arial" w:cs="Arial"/>
          <w:b/>
        </w:rPr>
        <w:t xml:space="preserve">(GRD) </w:t>
      </w:r>
      <w:r w:rsidRPr="00E957BC">
        <w:rPr>
          <w:rFonts w:ascii="Arial" w:hAnsi="Arial" w:cs="Arial"/>
          <w:b/>
        </w:rPr>
        <w:t xml:space="preserve">of human embryo </w:t>
      </w:r>
      <w:r>
        <w:rPr>
          <w:rFonts w:ascii="Arial" w:hAnsi="Arial" w:cs="Arial"/>
          <w:b/>
        </w:rPr>
        <w:t>regulatory LTR</w:t>
      </w:r>
      <w:r w:rsidRPr="00E957BC">
        <w:rPr>
          <w:rFonts w:ascii="Arial" w:hAnsi="Arial" w:cs="Arial"/>
          <w:b/>
        </w:rPr>
        <w:t xml:space="preserve"> elements.</w:t>
      </w:r>
    </w:p>
    <w:p w:rsidR="00C337FF" w:rsidRDefault="00C337FF" w:rsidP="0017119F">
      <w:pPr>
        <w:autoSpaceDE w:val="0"/>
        <w:autoSpaceDN w:val="0"/>
        <w:adjustRightInd w:val="0"/>
        <w:spacing w:after="0" w:line="360" w:lineRule="auto"/>
        <w:rPr>
          <w:rFonts w:ascii="Arial" w:hAnsi="Arial" w:cs="Arial"/>
        </w:rPr>
      </w:pPr>
      <w:r>
        <w:rPr>
          <w:rFonts w:ascii="Arial" w:hAnsi="Arial" w:cs="Arial"/>
        </w:rPr>
        <w:t>Results of Gene Ontology terms’ enrichment analyses indicate that a set of 5444 genes constituting candidate down-stream targets of human embryo regulatory LTRs appears segregated into multiple genomic regulatory networks (GRNs) defined by a single ontology-specific enrichment analysis (</w:t>
      </w:r>
      <w:r w:rsidRPr="00567BF4">
        <w:rPr>
          <w:rFonts w:ascii="Arial" w:hAnsi="Arial" w:cs="Arial"/>
          <w:b/>
        </w:rPr>
        <w:t>Figure 1;</w:t>
      </w:r>
      <w:r>
        <w:rPr>
          <w:rFonts w:ascii="Arial" w:hAnsi="Arial" w:cs="Arial"/>
        </w:rPr>
        <w:t xml:space="preserve"> </w:t>
      </w:r>
      <w:r w:rsidRPr="00D82232">
        <w:rPr>
          <w:rFonts w:ascii="Arial" w:hAnsi="Arial" w:cs="Arial"/>
          <w:b/>
        </w:rPr>
        <w:t>Tables 2</w:t>
      </w:r>
      <w:r>
        <w:rPr>
          <w:rFonts w:ascii="Arial" w:hAnsi="Arial" w:cs="Arial"/>
          <w:b/>
        </w:rPr>
        <w:t>-5</w:t>
      </w:r>
      <w:r w:rsidRPr="00D82232">
        <w:rPr>
          <w:rFonts w:ascii="Arial" w:hAnsi="Arial" w:cs="Arial"/>
          <w:b/>
        </w:rPr>
        <w:t>; Supplementary Table S1</w:t>
      </w:r>
      <w:r>
        <w:rPr>
          <w:rFonts w:ascii="Arial" w:hAnsi="Arial" w:cs="Arial"/>
        </w:rPr>
        <w:t>). Identification of GRNs is based on analyses of regulatory LTRs and down-stream target genes distribution patterns associated with each of significantly-enriched terms (Binominal FDR Q value &lt; 0.05)  identified by the GREAT algorithm during analyses of GO Biological Process (227 significant terms), GO Cellular Component (47 significant terms), and GO Molecular Function (80 significant terms) databases (</w:t>
      </w:r>
      <w:r>
        <w:rPr>
          <w:rFonts w:ascii="Arial" w:hAnsi="Arial" w:cs="Arial"/>
          <w:b/>
        </w:rPr>
        <w:t>Figure 1</w:t>
      </w:r>
      <w:r>
        <w:rPr>
          <w:rFonts w:ascii="Arial" w:hAnsi="Arial" w:cs="Arial"/>
        </w:rPr>
        <w:t>). It has been observed that for a set of single ontology-defined significantly-enriched terms there is a significant positive correlation (</w:t>
      </w:r>
      <w:r w:rsidRPr="00332EDB">
        <w:rPr>
          <w:rFonts w:ascii="Arial" w:hAnsi="Arial" w:cs="Arial"/>
          <w:b/>
        </w:rPr>
        <w:t>R</w:t>
      </w:r>
      <w:r w:rsidRPr="00332EDB">
        <w:rPr>
          <w:rFonts w:ascii="Arial" w:hAnsi="Arial" w:cs="Arial"/>
          <w:b/>
          <w:vertAlign w:val="superscript"/>
        </w:rPr>
        <w:t xml:space="preserve">2 </w:t>
      </w:r>
      <w:r w:rsidRPr="00332EDB">
        <w:rPr>
          <w:rFonts w:ascii="Arial" w:hAnsi="Arial" w:cs="Arial"/>
          <w:b/>
        </w:rPr>
        <w:t>&gt; 0.99</w:t>
      </w:r>
      <w:r>
        <w:rPr>
          <w:rFonts w:ascii="Arial" w:hAnsi="Arial" w:cs="Arial"/>
        </w:rPr>
        <w:t>) between genome fractions occupied by genomic features assigned to a set of significantly-enriched terms (referred to as the genomic modicums) and proportions of LTR elements residing within the genomic modicums (referred to as the LTR set coverage). A compendium of regulatory LTRs and down-stream target genes assigned to the individual significantly-enriched GO terms, genomic modicums of which were occupying more than 5% of human genome and harbor at least 6% of human embryo regulatory LTRs, were designated as GRNs (</w:t>
      </w:r>
      <w:r w:rsidRPr="00567BF4">
        <w:rPr>
          <w:rFonts w:ascii="Arial" w:hAnsi="Arial" w:cs="Arial"/>
          <w:b/>
        </w:rPr>
        <w:t>Figure 1;</w:t>
      </w:r>
      <w:r>
        <w:rPr>
          <w:rFonts w:ascii="Arial" w:hAnsi="Arial" w:cs="Arial"/>
        </w:rPr>
        <w:t xml:space="preserve"> </w:t>
      </w:r>
      <w:r w:rsidRPr="00D82232">
        <w:rPr>
          <w:rFonts w:ascii="Arial" w:hAnsi="Arial" w:cs="Arial"/>
          <w:b/>
        </w:rPr>
        <w:t>Tables 2</w:t>
      </w:r>
      <w:r>
        <w:rPr>
          <w:rFonts w:ascii="Arial" w:hAnsi="Arial" w:cs="Arial"/>
          <w:b/>
        </w:rPr>
        <w:t>-5</w:t>
      </w:r>
      <w:r w:rsidRPr="00D82232">
        <w:rPr>
          <w:rFonts w:ascii="Arial" w:hAnsi="Arial" w:cs="Arial"/>
          <w:b/>
        </w:rPr>
        <w:t>; Supplementary Table S1</w:t>
      </w:r>
      <w:r>
        <w:rPr>
          <w:rFonts w:ascii="Arial" w:hAnsi="Arial" w:cs="Arial"/>
        </w:rPr>
        <w:t xml:space="preserve">). </w:t>
      </w:r>
    </w:p>
    <w:p w:rsidR="00C337FF" w:rsidRPr="001B678F" w:rsidRDefault="00C337FF" w:rsidP="0017119F">
      <w:pPr>
        <w:autoSpaceDE w:val="0"/>
        <w:autoSpaceDN w:val="0"/>
        <w:adjustRightInd w:val="0"/>
        <w:spacing w:after="0" w:line="360" w:lineRule="auto"/>
        <w:ind w:firstLine="720"/>
        <w:rPr>
          <w:rFonts w:ascii="Arial" w:hAnsi="Arial" w:cs="Arial"/>
        </w:rPr>
      </w:pPr>
      <w:r>
        <w:rPr>
          <w:rFonts w:ascii="Arial" w:hAnsi="Arial" w:cs="Arial"/>
        </w:rPr>
        <w:t>In total, there are 26 gene ontology-defined GRNs associated with human embryo regulatory LTRs each of which contain more than 500 regulatory LTR elements and more than 199 down-stream target genes (</w:t>
      </w:r>
      <w:r w:rsidRPr="00332EDB">
        <w:rPr>
          <w:rFonts w:ascii="Arial" w:hAnsi="Arial" w:cs="Arial"/>
          <w:b/>
        </w:rPr>
        <w:t xml:space="preserve">Figure 1; </w:t>
      </w:r>
      <w:r w:rsidRPr="005A1F34">
        <w:rPr>
          <w:rFonts w:ascii="Arial" w:hAnsi="Arial" w:cs="Arial"/>
          <w:b/>
        </w:rPr>
        <w:t>Table</w:t>
      </w:r>
      <w:r>
        <w:rPr>
          <w:rFonts w:ascii="Arial" w:hAnsi="Arial" w:cs="Arial"/>
          <w:b/>
        </w:rPr>
        <w:t>s</w:t>
      </w:r>
      <w:r w:rsidRPr="005A1F34">
        <w:rPr>
          <w:rFonts w:ascii="Arial" w:hAnsi="Arial" w:cs="Arial"/>
          <w:b/>
        </w:rPr>
        <w:t xml:space="preserve"> 3</w:t>
      </w:r>
      <w:r>
        <w:rPr>
          <w:rFonts w:ascii="Arial" w:hAnsi="Arial" w:cs="Arial"/>
          <w:b/>
        </w:rPr>
        <w:t>-5</w:t>
      </w:r>
      <w:r w:rsidRPr="005A1F34">
        <w:rPr>
          <w:rFonts w:ascii="Arial" w:hAnsi="Arial" w:cs="Arial"/>
          <w:b/>
        </w:rPr>
        <w:t>; Supplementary Table S1</w:t>
      </w:r>
      <w:r>
        <w:rPr>
          <w:rFonts w:ascii="Arial" w:hAnsi="Arial" w:cs="Arial"/>
        </w:rPr>
        <w:t>). Genomic locations of GRNs appear scattered across chromosomes to occupy from 5.5% to 15.09% of the human genome. GRNs integrate activities from 529 to 1486 human embryo regulatory LTR</w:t>
      </w:r>
      <w:r w:rsidRPr="007420B2">
        <w:rPr>
          <w:rFonts w:ascii="Arial" w:hAnsi="Arial" w:cs="Arial"/>
        </w:rPr>
        <w:t xml:space="preserve"> elements</w:t>
      </w:r>
      <w:r>
        <w:rPr>
          <w:rFonts w:ascii="Arial" w:hAnsi="Arial" w:cs="Arial"/>
        </w:rPr>
        <w:t xml:space="preserve"> and from 199 to 805 down-stream target genes, including transcription factors, chromatin-state remodelers, sensing and signal transduction mediators, enzymatic and receptor binding effectors, intracellular complexes and extracellular matrix elements, and cell-cell adhesion molecules. One of notable common structural features of GRNs is that numbers of regulatory LTR</w:t>
      </w:r>
      <w:r w:rsidRPr="007420B2">
        <w:rPr>
          <w:rFonts w:ascii="Arial" w:hAnsi="Arial" w:cs="Arial"/>
        </w:rPr>
        <w:t xml:space="preserve"> elements</w:t>
      </w:r>
      <w:r>
        <w:rPr>
          <w:rFonts w:ascii="Arial" w:hAnsi="Arial" w:cs="Arial"/>
        </w:rPr>
        <w:t xml:space="preserve"> derived from LTR7, MLT2A1, and MLT2A2 sequences residing within the boundaries of GRN’s genomic modicums are quantitatively balanced in strict accordance to their genome-wide abundance levels (</w:t>
      </w:r>
      <w:r>
        <w:rPr>
          <w:rFonts w:ascii="Arial" w:hAnsi="Arial" w:cs="Arial"/>
          <w:b/>
        </w:rPr>
        <w:t>Table 4</w:t>
      </w:r>
      <w:r>
        <w:rPr>
          <w:rFonts w:ascii="Arial" w:hAnsi="Arial" w:cs="Arial"/>
        </w:rPr>
        <w:t xml:space="preserve">). </w:t>
      </w:r>
    </w:p>
    <w:p w:rsidR="00C337FF" w:rsidRDefault="00C337FF" w:rsidP="0017119F">
      <w:pPr>
        <w:autoSpaceDE w:val="0"/>
        <w:autoSpaceDN w:val="0"/>
        <w:adjustRightInd w:val="0"/>
        <w:spacing w:after="0" w:line="360" w:lineRule="auto"/>
        <w:ind w:firstLine="720"/>
        <w:rPr>
          <w:rFonts w:ascii="Arial" w:hAnsi="Arial" w:cs="Arial"/>
        </w:rPr>
      </w:pPr>
      <w:r>
        <w:rPr>
          <w:rFonts w:ascii="Arial" w:hAnsi="Arial" w:cs="Arial"/>
        </w:rPr>
        <w:t>Follow-up gene ontology enrichment analyses of 26 GRNs revealed further details of their genotype-phenotype association-defined architectural complexity: GRNs consist from several hundred to thousands quantitatively smaller gene ontology enrichment analysis-defined genomic regulatory modules (GRMs) (</w:t>
      </w:r>
      <w:r w:rsidRPr="005A1F34">
        <w:rPr>
          <w:rFonts w:ascii="Arial" w:hAnsi="Arial" w:cs="Arial"/>
          <w:b/>
        </w:rPr>
        <w:t>Table 3; Supplementary Table S1</w:t>
      </w:r>
      <w:r>
        <w:rPr>
          <w:rFonts w:ascii="Arial" w:hAnsi="Arial" w:cs="Arial"/>
          <w:b/>
        </w:rPr>
        <w:t>; Supplementary Data Set S1: GRN1-GRN26</w:t>
      </w:r>
      <w:r>
        <w:rPr>
          <w:rFonts w:ascii="Arial" w:hAnsi="Arial" w:cs="Arial"/>
        </w:rPr>
        <w:t xml:space="preserve">). Importantly, to increase the stringency of statistical definitions of candidate regulatory LTR-associated GRMs, the cut-off threshold of the Binominal FDR Q-value &lt; 0.001 was applied in these series of GO terms enrichment analyses. One of the implications of this approach is that the false discovery rates (FDR) in these analyses could be estimated at less than 0.1%, thus indicating that the reported observations have more than 99.9% likelihood of being true findings. Based on the results of these analyses, it has been concluded that genomic constituents of each </w:t>
      </w:r>
      <w:r>
        <w:rPr>
          <w:rFonts w:ascii="Arial" w:hAnsi="Arial" w:cs="Arial"/>
        </w:rPr>
        <w:lastRenderedPageBreak/>
        <w:t>GRN comprise of several hundred to thousands smaller gene ontology enrichment analysis-defined GRMs, each of which contains from a dozen to hundreds LTRs and down-stream target genes. Overall, these analyses identified 69,573 statistically significant regulatory LTR-linked GRMs (</w:t>
      </w:r>
      <w:r w:rsidRPr="005A1F34">
        <w:rPr>
          <w:rFonts w:ascii="Arial" w:hAnsi="Arial" w:cs="Arial"/>
          <w:b/>
        </w:rPr>
        <w:t>Table</w:t>
      </w:r>
      <w:r>
        <w:rPr>
          <w:rFonts w:ascii="Arial" w:hAnsi="Arial" w:cs="Arial"/>
          <w:b/>
        </w:rPr>
        <w:t>s</w:t>
      </w:r>
      <w:r w:rsidRPr="005A1F34">
        <w:rPr>
          <w:rFonts w:ascii="Arial" w:hAnsi="Arial" w:cs="Arial"/>
          <w:b/>
        </w:rPr>
        <w:t xml:space="preserve"> 3</w:t>
      </w:r>
      <w:r>
        <w:rPr>
          <w:rFonts w:ascii="Arial" w:hAnsi="Arial" w:cs="Arial"/>
          <w:b/>
        </w:rPr>
        <w:t>-4</w:t>
      </w:r>
      <w:r w:rsidRPr="005A1F34">
        <w:rPr>
          <w:rFonts w:ascii="Arial" w:hAnsi="Arial" w:cs="Arial"/>
          <w:b/>
        </w:rPr>
        <w:t>; Supplementary Table S1</w:t>
      </w:r>
      <w:r>
        <w:rPr>
          <w:rFonts w:ascii="Arial" w:hAnsi="Arial" w:cs="Arial"/>
          <w:b/>
        </w:rPr>
        <w:t>; Supplementary Data Set S1: GRN1-GRN26</w:t>
      </w:r>
      <w:r>
        <w:rPr>
          <w:rFonts w:ascii="Arial" w:hAnsi="Arial" w:cs="Arial"/>
        </w:rPr>
        <w:t xml:space="preserve">), including 27,601 GRMs validated by the single ontology-specific </w:t>
      </w:r>
      <w:r w:rsidRPr="006344D1">
        <w:rPr>
          <w:rFonts w:ascii="Arial" w:hAnsi="Arial" w:cs="Arial"/>
        </w:rPr>
        <w:t>directed acyclic graph</w:t>
      </w:r>
      <w:r>
        <w:rPr>
          <w:rFonts w:ascii="Arial" w:hAnsi="Arial" w:cs="Arial"/>
        </w:rPr>
        <w:t xml:space="preserve"> (DAG) analyses across 6 gene ontology annotations databases (</w:t>
      </w:r>
      <w:r>
        <w:rPr>
          <w:rFonts w:ascii="Arial" w:hAnsi="Arial" w:cs="Arial"/>
          <w:b/>
        </w:rPr>
        <w:t>Table 5</w:t>
      </w:r>
      <w:r w:rsidRPr="005A1F34">
        <w:rPr>
          <w:rFonts w:ascii="Arial" w:hAnsi="Arial" w:cs="Arial"/>
          <w:b/>
        </w:rPr>
        <w:t>; Supplementary Table S1</w:t>
      </w:r>
      <w:r>
        <w:rPr>
          <w:rFonts w:ascii="Arial" w:hAnsi="Arial" w:cs="Arial"/>
          <w:b/>
        </w:rPr>
        <w:t>; Supplementary Data Set S1: GRN1-GRN26</w:t>
      </w:r>
      <w:r w:rsidRPr="00555BDE">
        <w:rPr>
          <w:rFonts w:ascii="Arial" w:hAnsi="Arial" w:cs="Arial"/>
        </w:rPr>
        <w:t>)</w:t>
      </w:r>
      <w:r>
        <w:rPr>
          <w:rFonts w:ascii="Arial" w:hAnsi="Arial" w:cs="Arial"/>
        </w:rPr>
        <w:t>. It has been determined that within each GRN there is a significant positive correlation between the human genome fractions occupied by the GRMs and LTR set coverage for the GRMs (</w:t>
      </w:r>
      <w:r>
        <w:rPr>
          <w:rFonts w:ascii="Arial" w:hAnsi="Arial" w:cs="Arial"/>
          <w:b/>
        </w:rPr>
        <w:t>Supplementary Summary S2</w:t>
      </w:r>
      <w:r>
        <w:rPr>
          <w:rFonts w:ascii="Arial" w:hAnsi="Arial" w:cs="Arial"/>
        </w:rPr>
        <w:t xml:space="preserve">). </w:t>
      </w:r>
    </w:p>
    <w:p w:rsidR="00C337FF" w:rsidRDefault="00C337FF" w:rsidP="0017119F">
      <w:pPr>
        <w:autoSpaceDE w:val="0"/>
        <w:autoSpaceDN w:val="0"/>
        <w:adjustRightInd w:val="0"/>
        <w:spacing w:after="0" w:line="360" w:lineRule="auto"/>
        <w:ind w:firstLine="720"/>
        <w:rPr>
          <w:rFonts w:ascii="Arial" w:hAnsi="Arial" w:cs="Arial"/>
        </w:rPr>
      </w:pPr>
      <w:r>
        <w:rPr>
          <w:rFonts w:ascii="Arial" w:hAnsi="Arial" w:cs="Arial"/>
        </w:rPr>
        <w:t xml:space="preserve">These observations suggest that human embryo regulatory LTRs may exert regulatory effects on thousands distinct GRMs containing functionally and/or structurally-related sub-sets of genes affecting multiple facets of Modern Humans’ developmental processes as well as physiological and pathological traits, in particular, a constellation of biological processes, cellular components, and molecular activities affecting development and functions of the nervous system. </w:t>
      </w:r>
    </w:p>
    <w:p w:rsidR="00C337FF" w:rsidRDefault="00C337FF" w:rsidP="0017119F">
      <w:pPr>
        <w:autoSpaceDE w:val="0"/>
        <w:autoSpaceDN w:val="0"/>
        <w:adjustRightInd w:val="0"/>
        <w:spacing w:after="0" w:line="360" w:lineRule="auto"/>
        <w:ind w:firstLine="720"/>
        <w:rPr>
          <w:rFonts w:ascii="Arial" w:hAnsi="Arial" w:cs="Arial"/>
        </w:rPr>
      </w:pPr>
      <w:r w:rsidRPr="00734B04">
        <w:rPr>
          <w:rFonts w:ascii="Arial" w:hAnsi="Arial" w:cs="Arial"/>
        </w:rPr>
        <w:t>Selected examples of GRMs and associated phenotypic traits identified by GO analyses of specific regulatory LTR-governed GRNs are reported in the Supplement to highlight their</w:t>
      </w:r>
      <w:r>
        <w:rPr>
          <w:rFonts w:ascii="Arial" w:hAnsi="Arial" w:cs="Arial"/>
          <w:b/>
        </w:rPr>
        <w:t xml:space="preserve"> p</w:t>
      </w:r>
      <w:r>
        <w:rPr>
          <w:rFonts w:ascii="Arial" w:hAnsi="Arial" w:cs="Arial"/>
        </w:rPr>
        <w:t xml:space="preserve">otential phenotypic impacts on human pathophysiology. </w:t>
      </w:r>
      <w:r w:rsidRPr="0009632E">
        <w:rPr>
          <w:rFonts w:ascii="Arial" w:hAnsi="Arial" w:cs="Arial"/>
        </w:rPr>
        <w:t xml:space="preserve">GO Biological Process analyses identified multiple </w:t>
      </w:r>
      <w:r>
        <w:rPr>
          <w:rFonts w:ascii="Arial" w:hAnsi="Arial" w:cs="Arial"/>
        </w:rPr>
        <w:t xml:space="preserve">GRNs and </w:t>
      </w:r>
      <w:r w:rsidRPr="0009632E">
        <w:rPr>
          <w:rFonts w:ascii="Arial" w:hAnsi="Arial" w:cs="Arial"/>
        </w:rPr>
        <w:t>GRMs representing common significantly-enriched phenotypic traits associated with regulation of amyloid precursor protein catabolic process; regulation of beta-amyloid formation; positive regulation of beta-amyloid formation; response to beta-amyloid; and cellular response to beta-amyloid.</w:t>
      </w:r>
      <w:r>
        <w:rPr>
          <w:rFonts w:ascii="Arial" w:hAnsi="Arial" w:cs="Arial"/>
        </w:rPr>
        <w:t xml:space="preserve"> Similarly, </w:t>
      </w:r>
      <w:r w:rsidRPr="0009632E">
        <w:rPr>
          <w:rFonts w:ascii="Arial" w:hAnsi="Arial" w:cs="Arial"/>
        </w:rPr>
        <w:t xml:space="preserve">GO Molecular Function analyses identified several GRMs representing common significantly-enriched phenotypic traits </w:t>
      </w:r>
      <w:r>
        <w:rPr>
          <w:rFonts w:ascii="Arial" w:hAnsi="Arial" w:cs="Arial"/>
        </w:rPr>
        <w:t>associated with seven GRNs (</w:t>
      </w:r>
      <w:r w:rsidRPr="005D0049">
        <w:rPr>
          <w:rFonts w:ascii="Arial" w:hAnsi="Arial" w:cs="Arial"/>
          <w:b/>
        </w:rPr>
        <w:t>Supplementary Text</w:t>
      </w:r>
      <w:r>
        <w:rPr>
          <w:rFonts w:ascii="Arial" w:hAnsi="Arial" w:cs="Arial"/>
          <w:b/>
        </w:rPr>
        <w:t xml:space="preserve"> ST1</w:t>
      </w:r>
      <w:r>
        <w:rPr>
          <w:rFonts w:ascii="Arial" w:hAnsi="Arial" w:cs="Arial"/>
        </w:rPr>
        <w:t xml:space="preserve">). A set of common GRMs shared by these GRNs include beta-amyloid binding; ionotropic glutamate receptor activity; </w:t>
      </w:r>
      <w:proofErr w:type="spellStart"/>
      <w:r>
        <w:rPr>
          <w:rFonts w:ascii="Arial" w:hAnsi="Arial" w:cs="Arial"/>
        </w:rPr>
        <w:t>kainate</w:t>
      </w:r>
      <w:proofErr w:type="spellEnd"/>
      <w:r>
        <w:rPr>
          <w:rFonts w:ascii="Arial" w:hAnsi="Arial" w:cs="Arial"/>
        </w:rPr>
        <w:t xml:space="preserve"> selective glutamate receptor; NMDA glutamate receptor; AMPA glutamate receptor. Interestingly, the GO Molecular Function terms ionotropic glutamate receptor activity; </w:t>
      </w:r>
      <w:proofErr w:type="spellStart"/>
      <w:r>
        <w:rPr>
          <w:rFonts w:ascii="Arial" w:hAnsi="Arial" w:cs="Arial"/>
        </w:rPr>
        <w:t>kainate</w:t>
      </w:r>
      <w:proofErr w:type="spellEnd"/>
      <w:r>
        <w:rPr>
          <w:rFonts w:ascii="Arial" w:hAnsi="Arial" w:cs="Arial"/>
        </w:rPr>
        <w:t xml:space="preserve"> selective glutamate receptor; NMDA glutamate receptor; AMPA glutamate receptor represent the exactly same selection of phenotypic traits that were identified as down-stream regulatory targets of human-specific LTR7 and LTR5_Hs loci (</w:t>
      </w:r>
      <w:proofErr w:type="spellStart"/>
      <w:r>
        <w:rPr>
          <w:rFonts w:ascii="Arial" w:hAnsi="Arial" w:cs="Arial"/>
        </w:rPr>
        <w:t>Glinsky</w:t>
      </w:r>
      <w:proofErr w:type="spellEnd"/>
      <w:r>
        <w:rPr>
          <w:rFonts w:ascii="Arial" w:hAnsi="Arial" w:cs="Arial"/>
        </w:rPr>
        <w:t xml:space="preserve">, 2022). </w:t>
      </w:r>
    </w:p>
    <w:p w:rsidR="00C337FF" w:rsidRDefault="00C337FF" w:rsidP="0017119F">
      <w:pPr>
        <w:autoSpaceDE w:val="0"/>
        <w:autoSpaceDN w:val="0"/>
        <w:adjustRightInd w:val="0"/>
        <w:spacing w:after="0" w:line="360" w:lineRule="auto"/>
        <w:ind w:firstLine="720"/>
        <w:rPr>
          <w:rFonts w:ascii="Arial" w:hAnsi="Arial" w:cs="Arial"/>
        </w:rPr>
      </w:pPr>
      <w:r>
        <w:rPr>
          <w:rFonts w:ascii="Arial" w:hAnsi="Arial" w:cs="Arial"/>
        </w:rPr>
        <w:t xml:space="preserve">Overall, genes linked to phenotypic traits reflecting various aspects of physiological and pathological processes associated with the biogenesis, metabolism, and functions of the amyloid precursor protein and beta-amyloid peptides appear to represent one of the down-stream targets of preference during the evolution of human embryo regulatory LTR elements. </w:t>
      </w:r>
    </w:p>
    <w:p w:rsidR="00C337FF" w:rsidRDefault="00C337FF" w:rsidP="0017119F">
      <w:pPr>
        <w:autoSpaceDE w:val="0"/>
        <w:autoSpaceDN w:val="0"/>
        <w:adjustRightInd w:val="0"/>
        <w:spacing w:after="0" w:line="360" w:lineRule="auto"/>
        <w:rPr>
          <w:rFonts w:ascii="Arial" w:hAnsi="Arial" w:cs="Arial"/>
          <w:b/>
        </w:rPr>
      </w:pPr>
    </w:p>
    <w:p w:rsidR="007A3556" w:rsidRPr="005B3EE3" w:rsidRDefault="009F5D2A" w:rsidP="0017119F">
      <w:pPr>
        <w:autoSpaceDE w:val="0"/>
        <w:autoSpaceDN w:val="0"/>
        <w:adjustRightInd w:val="0"/>
        <w:spacing w:after="0" w:line="360" w:lineRule="auto"/>
        <w:rPr>
          <w:rFonts w:ascii="Arial" w:hAnsi="Arial" w:cs="Arial"/>
          <w:b/>
        </w:rPr>
      </w:pPr>
      <w:r>
        <w:rPr>
          <w:rFonts w:ascii="Arial" w:hAnsi="Arial" w:cs="Arial"/>
          <w:b/>
        </w:rPr>
        <w:t>Selected</w:t>
      </w:r>
      <w:r w:rsidR="005B3EE3" w:rsidRPr="005B3EE3">
        <w:rPr>
          <w:rFonts w:ascii="Arial" w:hAnsi="Arial" w:cs="Arial"/>
          <w:b/>
        </w:rPr>
        <w:t xml:space="preserve"> e</w:t>
      </w:r>
      <w:r w:rsidR="000F0BBA" w:rsidRPr="005B3EE3">
        <w:rPr>
          <w:rFonts w:ascii="Arial" w:hAnsi="Arial" w:cs="Arial"/>
          <w:b/>
        </w:rPr>
        <w:t xml:space="preserve">xamples of GRMs and associated phenotypic traits identified by GO analyses of specific </w:t>
      </w:r>
      <w:r w:rsidR="002F5992">
        <w:rPr>
          <w:rFonts w:ascii="Arial" w:hAnsi="Arial" w:cs="Arial"/>
          <w:b/>
        </w:rPr>
        <w:t>regulatory LTR</w:t>
      </w:r>
      <w:r w:rsidR="000F0BBA" w:rsidRPr="005B3EE3">
        <w:rPr>
          <w:rFonts w:ascii="Arial" w:hAnsi="Arial" w:cs="Arial"/>
          <w:b/>
        </w:rPr>
        <w:t xml:space="preserve">-governed GRNs. </w:t>
      </w:r>
    </w:p>
    <w:p w:rsidR="00951336" w:rsidRDefault="00D73D49" w:rsidP="0017119F">
      <w:pPr>
        <w:autoSpaceDE w:val="0"/>
        <w:autoSpaceDN w:val="0"/>
        <w:adjustRightInd w:val="0"/>
        <w:spacing w:after="0" w:line="360" w:lineRule="auto"/>
        <w:ind w:firstLine="720"/>
        <w:rPr>
          <w:rFonts w:ascii="Arial" w:hAnsi="Arial" w:cs="Arial"/>
        </w:rPr>
      </w:pPr>
      <w:r>
        <w:rPr>
          <w:rFonts w:ascii="Arial" w:hAnsi="Arial" w:cs="Arial"/>
        </w:rPr>
        <w:t xml:space="preserve">Potential phenotypic impacts on human pathophysiology of human embryo </w:t>
      </w:r>
      <w:r w:rsidR="002F5992">
        <w:rPr>
          <w:rFonts w:ascii="Arial" w:hAnsi="Arial" w:cs="Arial"/>
        </w:rPr>
        <w:t>regulatory LTR</w:t>
      </w:r>
      <w:r>
        <w:rPr>
          <w:rFonts w:ascii="Arial" w:hAnsi="Arial" w:cs="Arial"/>
        </w:rPr>
        <w:t xml:space="preserve">-governed </w:t>
      </w:r>
      <w:r w:rsidR="005B3EE3">
        <w:rPr>
          <w:rFonts w:ascii="Arial" w:hAnsi="Arial" w:cs="Arial"/>
        </w:rPr>
        <w:t>GRN</w:t>
      </w:r>
      <w:r>
        <w:rPr>
          <w:rFonts w:ascii="Arial" w:hAnsi="Arial" w:cs="Arial"/>
        </w:rPr>
        <w:t xml:space="preserve">s could </w:t>
      </w:r>
      <w:r w:rsidR="0011221D">
        <w:rPr>
          <w:rFonts w:ascii="Arial" w:hAnsi="Arial" w:cs="Arial"/>
        </w:rPr>
        <w:t xml:space="preserve">be </w:t>
      </w:r>
      <w:r>
        <w:rPr>
          <w:rFonts w:ascii="Arial" w:hAnsi="Arial" w:cs="Arial"/>
        </w:rPr>
        <w:t xml:space="preserve">inferred </w:t>
      </w:r>
      <w:r w:rsidR="00DA2711">
        <w:rPr>
          <w:rFonts w:ascii="Arial" w:hAnsi="Arial" w:cs="Arial"/>
        </w:rPr>
        <w:t>by analyses of significantly enriched genotype-phenotype associations annotated to their composite GRMs. The GRN “</w:t>
      </w:r>
      <w:r w:rsidR="004A2050">
        <w:rPr>
          <w:rFonts w:ascii="Arial" w:hAnsi="Arial" w:cs="Arial"/>
        </w:rPr>
        <w:t>Regulation of Membrane P</w:t>
      </w:r>
      <w:r w:rsidR="003549A8" w:rsidRPr="009B1810">
        <w:rPr>
          <w:rFonts w:ascii="Arial" w:hAnsi="Arial" w:cs="Arial"/>
        </w:rPr>
        <w:t>ot</w:t>
      </w:r>
      <w:r w:rsidR="005B3EE3">
        <w:rPr>
          <w:rFonts w:ascii="Arial" w:hAnsi="Arial" w:cs="Arial"/>
        </w:rPr>
        <w:t>ential</w:t>
      </w:r>
      <w:r w:rsidR="00DA2711">
        <w:rPr>
          <w:rFonts w:ascii="Arial" w:hAnsi="Arial" w:cs="Arial"/>
        </w:rPr>
        <w:t>”</w:t>
      </w:r>
      <w:r w:rsidR="005B3EE3">
        <w:rPr>
          <w:rFonts w:ascii="Arial" w:hAnsi="Arial" w:cs="Arial"/>
        </w:rPr>
        <w:t xml:space="preserve"> </w:t>
      </w:r>
      <w:r w:rsidR="00FE3BBC">
        <w:rPr>
          <w:rFonts w:ascii="Arial" w:hAnsi="Arial" w:cs="Arial"/>
        </w:rPr>
        <w:t>have the largest number of significantly-</w:t>
      </w:r>
      <w:r w:rsidR="00FE3BBC">
        <w:rPr>
          <w:rFonts w:ascii="Arial" w:hAnsi="Arial" w:cs="Arial"/>
        </w:rPr>
        <w:lastRenderedPageBreak/>
        <w:t>enriched GRMs and associated phenotypic traits identified by GO analyses of the Human Phenotype database (</w:t>
      </w:r>
      <w:r w:rsidR="00FE3BBC" w:rsidRPr="00FE3BBC">
        <w:rPr>
          <w:rFonts w:ascii="Arial" w:hAnsi="Arial" w:cs="Arial"/>
          <w:b/>
        </w:rPr>
        <w:t>Tables 3-5; Supplementary Data Set S1</w:t>
      </w:r>
      <w:r w:rsidR="00FE3BBC">
        <w:rPr>
          <w:rFonts w:ascii="Arial" w:hAnsi="Arial" w:cs="Arial"/>
        </w:rPr>
        <w:t xml:space="preserve">). </w:t>
      </w:r>
    </w:p>
    <w:p w:rsidR="004A2050" w:rsidRDefault="00FE3BBC" w:rsidP="0017119F">
      <w:pPr>
        <w:autoSpaceDE w:val="0"/>
        <w:autoSpaceDN w:val="0"/>
        <w:adjustRightInd w:val="0"/>
        <w:spacing w:after="0" w:line="360" w:lineRule="auto"/>
        <w:ind w:firstLine="720"/>
        <w:rPr>
          <w:rFonts w:ascii="Arial" w:hAnsi="Arial" w:cs="Arial"/>
        </w:rPr>
      </w:pPr>
      <w:r>
        <w:rPr>
          <w:rFonts w:ascii="Arial" w:hAnsi="Arial" w:cs="Arial"/>
        </w:rPr>
        <w:t xml:space="preserve">A set of </w:t>
      </w:r>
      <w:r w:rsidR="003549A8">
        <w:rPr>
          <w:rFonts w:ascii="Arial" w:hAnsi="Arial" w:cs="Arial"/>
        </w:rPr>
        <w:t xml:space="preserve">79 </w:t>
      </w:r>
      <w:r w:rsidR="002F5992">
        <w:rPr>
          <w:rFonts w:ascii="Arial" w:hAnsi="Arial" w:cs="Arial"/>
        </w:rPr>
        <w:t>regulatory LTR</w:t>
      </w:r>
      <w:r w:rsidR="003549A8">
        <w:rPr>
          <w:rFonts w:ascii="Arial" w:hAnsi="Arial" w:cs="Arial"/>
        </w:rPr>
        <w:t xml:space="preserve">s linked to 10 genes have been identified </w:t>
      </w:r>
      <w:r>
        <w:rPr>
          <w:rFonts w:ascii="Arial" w:hAnsi="Arial" w:cs="Arial"/>
        </w:rPr>
        <w:t xml:space="preserve">that were </w:t>
      </w:r>
      <w:r w:rsidR="003549A8">
        <w:rPr>
          <w:rFonts w:ascii="Arial" w:hAnsi="Arial" w:cs="Arial"/>
        </w:rPr>
        <w:t xml:space="preserve">annotated to </w:t>
      </w:r>
      <w:r w:rsidR="004A2050">
        <w:rPr>
          <w:rFonts w:ascii="Arial" w:hAnsi="Arial" w:cs="Arial"/>
        </w:rPr>
        <w:t xml:space="preserve">GRM </w:t>
      </w:r>
      <w:r w:rsidR="003549A8" w:rsidRPr="009B1810">
        <w:rPr>
          <w:rFonts w:ascii="Arial" w:hAnsi="Arial" w:cs="Arial"/>
        </w:rPr>
        <w:t>X-linked inheritance (HP</w:t>
      </w:r>
      <w:proofErr w:type="gramStart"/>
      <w:r w:rsidR="003549A8" w:rsidRPr="009B1810">
        <w:rPr>
          <w:rFonts w:ascii="Arial" w:hAnsi="Arial" w:cs="Arial"/>
        </w:rPr>
        <w:t>:0001417</w:t>
      </w:r>
      <w:proofErr w:type="gramEnd"/>
      <w:r w:rsidR="003549A8" w:rsidRPr="009B1810">
        <w:rPr>
          <w:rFonts w:ascii="Arial" w:hAnsi="Arial" w:cs="Arial"/>
        </w:rPr>
        <w:t>)</w:t>
      </w:r>
      <w:r w:rsidR="003549A8">
        <w:rPr>
          <w:rFonts w:ascii="Arial" w:hAnsi="Arial" w:cs="Arial"/>
        </w:rPr>
        <w:t xml:space="preserve"> and </w:t>
      </w:r>
      <w:r w:rsidR="004A2050">
        <w:rPr>
          <w:rFonts w:ascii="Arial" w:hAnsi="Arial" w:cs="Arial"/>
        </w:rPr>
        <w:t xml:space="preserve">GRM </w:t>
      </w:r>
      <w:proofErr w:type="spellStart"/>
      <w:r w:rsidR="003549A8">
        <w:rPr>
          <w:rFonts w:ascii="Arial" w:hAnsi="Arial" w:cs="Arial"/>
        </w:rPr>
        <w:t>Gonosomal</w:t>
      </w:r>
      <w:proofErr w:type="spellEnd"/>
      <w:r w:rsidR="003549A8" w:rsidRPr="009B1810">
        <w:rPr>
          <w:rFonts w:ascii="Arial" w:hAnsi="Arial" w:cs="Arial"/>
        </w:rPr>
        <w:t xml:space="preserve"> inheritance (HP:0010985)</w:t>
      </w:r>
      <w:r w:rsidR="003549A8">
        <w:rPr>
          <w:rFonts w:ascii="Arial" w:hAnsi="Arial" w:cs="Arial"/>
        </w:rPr>
        <w:t xml:space="preserve"> at Binominal FDR Q-values of</w:t>
      </w:r>
      <w:r w:rsidR="003549A8" w:rsidRPr="009B1810">
        <w:rPr>
          <w:rFonts w:ascii="Arial" w:hAnsi="Arial" w:cs="Arial"/>
        </w:rPr>
        <w:t xml:space="preserve"> 2.82E-29</w:t>
      </w:r>
      <w:r w:rsidR="003549A8">
        <w:rPr>
          <w:rFonts w:ascii="Arial" w:hAnsi="Arial" w:cs="Arial"/>
        </w:rPr>
        <w:t xml:space="preserve"> and </w:t>
      </w:r>
      <w:r w:rsidR="003549A8" w:rsidRPr="009B1810">
        <w:rPr>
          <w:rFonts w:ascii="Arial" w:hAnsi="Arial" w:cs="Arial"/>
        </w:rPr>
        <w:t>1.86E-25</w:t>
      </w:r>
      <w:r>
        <w:rPr>
          <w:rFonts w:ascii="Arial" w:hAnsi="Arial" w:cs="Arial"/>
        </w:rPr>
        <w:t xml:space="preserve">, respectively. Multiple significantly-enriched GRMs are associated with human phenotypes of major clinical importance. These include: </w:t>
      </w:r>
      <w:r w:rsidR="003549A8" w:rsidRPr="00A22A53">
        <w:rPr>
          <w:rFonts w:ascii="Arial" w:hAnsi="Arial" w:cs="Arial"/>
        </w:rPr>
        <w:t>Autism</w:t>
      </w:r>
      <w:r w:rsidR="003549A8">
        <w:rPr>
          <w:rFonts w:ascii="Arial" w:hAnsi="Arial" w:cs="Arial"/>
        </w:rPr>
        <w:t xml:space="preserve"> (</w:t>
      </w:r>
      <w:r w:rsidR="003549A8" w:rsidRPr="00A22A53">
        <w:rPr>
          <w:rFonts w:ascii="Arial" w:hAnsi="Arial" w:cs="Arial"/>
        </w:rPr>
        <w:t>HP:0000717</w:t>
      </w:r>
      <w:r w:rsidR="003549A8">
        <w:rPr>
          <w:rFonts w:ascii="Arial" w:hAnsi="Arial" w:cs="Arial"/>
        </w:rPr>
        <w:t xml:space="preserve">; 57 LTRs linked to 7 genes; Binominal FDR Q-value = </w:t>
      </w:r>
      <w:r w:rsidR="003549A8" w:rsidRPr="00A22A53">
        <w:rPr>
          <w:rFonts w:ascii="Arial" w:hAnsi="Arial" w:cs="Arial"/>
        </w:rPr>
        <w:t>3.39E-33</w:t>
      </w:r>
      <w:r w:rsidR="003549A8">
        <w:rPr>
          <w:rFonts w:ascii="Arial" w:hAnsi="Arial" w:cs="Arial"/>
        </w:rPr>
        <w:t>); and Autistic behavior (</w:t>
      </w:r>
      <w:r w:rsidR="003549A8" w:rsidRPr="00A22A53">
        <w:rPr>
          <w:rFonts w:ascii="Arial" w:hAnsi="Arial" w:cs="Arial"/>
        </w:rPr>
        <w:t>HP:0000729</w:t>
      </w:r>
      <w:r>
        <w:rPr>
          <w:rFonts w:ascii="Arial" w:hAnsi="Arial" w:cs="Arial"/>
        </w:rPr>
        <w:t xml:space="preserve">; </w:t>
      </w:r>
      <w:r w:rsidR="003549A8">
        <w:rPr>
          <w:rFonts w:ascii="Arial" w:hAnsi="Arial" w:cs="Arial"/>
        </w:rPr>
        <w:t xml:space="preserve">65 LTRs linked to 11 genes; Binominal FDR Q-value = </w:t>
      </w:r>
      <w:r w:rsidR="003549A8" w:rsidRPr="00A22A53">
        <w:rPr>
          <w:rFonts w:ascii="Arial" w:hAnsi="Arial" w:cs="Arial"/>
        </w:rPr>
        <w:t>2.10E-26</w:t>
      </w:r>
      <w:r w:rsidR="003549A8">
        <w:rPr>
          <w:rFonts w:ascii="Arial" w:hAnsi="Arial" w:cs="Arial"/>
        </w:rPr>
        <w:t xml:space="preserve">); </w:t>
      </w:r>
      <w:r w:rsidR="003549A8" w:rsidRPr="00A22A53">
        <w:rPr>
          <w:rFonts w:ascii="Arial" w:hAnsi="Arial" w:cs="Arial"/>
        </w:rPr>
        <w:t>Parkinsonism</w:t>
      </w:r>
      <w:r w:rsidR="003549A8">
        <w:rPr>
          <w:rFonts w:ascii="Arial" w:hAnsi="Arial" w:cs="Arial"/>
        </w:rPr>
        <w:t xml:space="preserve"> (</w:t>
      </w:r>
      <w:r w:rsidR="003549A8" w:rsidRPr="00A22A53">
        <w:rPr>
          <w:rFonts w:ascii="Arial" w:hAnsi="Arial" w:cs="Arial"/>
        </w:rPr>
        <w:t>HP:0001300</w:t>
      </w:r>
      <w:r w:rsidR="003549A8">
        <w:rPr>
          <w:rFonts w:ascii="Arial" w:hAnsi="Arial" w:cs="Arial"/>
        </w:rPr>
        <w:t xml:space="preserve">; 26 LTRs linked to 8 genes; Binominal FDR Q value = </w:t>
      </w:r>
      <w:r w:rsidR="003549A8" w:rsidRPr="00D61FEA">
        <w:rPr>
          <w:rFonts w:ascii="Arial" w:hAnsi="Arial" w:cs="Arial"/>
        </w:rPr>
        <w:t>1.71E-11</w:t>
      </w:r>
      <w:r w:rsidR="003549A8">
        <w:rPr>
          <w:rFonts w:ascii="Arial" w:hAnsi="Arial" w:cs="Arial"/>
        </w:rPr>
        <w:t xml:space="preserve">); Dementia (HP:0000726; 26 LTRs linked to 7 genes; Binominal FDR Q-value = </w:t>
      </w:r>
      <w:r w:rsidR="003549A8" w:rsidRPr="00D61FEA">
        <w:rPr>
          <w:rFonts w:ascii="Arial" w:hAnsi="Arial" w:cs="Arial"/>
        </w:rPr>
        <w:t>1.20E-09</w:t>
      </w:r>
      <w:r w:rsidR="003549A8">
        <w:rPr>
          <w:rFonts w:ascii="Arial" w:hAnsi="Arial" w:cs="Arial"/>
        </w:rPr>
        <w:t>);</w:t>
      </w:r>
      <w:r>
        <w:rPr>
          <w:rFonts w:ascii="Arial" w:hAnsi="Arial" w:cs="Arial"/>
        </w:rPr>
        <w:t xml:space="preserve"> </w:t>
      </w:r>
      <w:r w:rsidR="003549A8" w:rsidRPr="00D61FEA">
        <w:rPr>
          <w:rFonts w:ascii="Arial" w:hAnsi="Arial" w:cs="Arial"/>
        </w:rPr>
        <w:t xml:space="preserve">Intellectual disability </w:t>
      </w:r>
      <w:r w:rsidR="003549A8">
        <w:rPr>
          <w:rFonts w:ascii="Arial" w:hAnsi="Arial" w:cs="Arial"/>
        </w:rPr>
        <w:t>(</w:t>
      </w:r>
      <w:r w:rsidR="003549A8" w:rsidRPr="00D61FEA">
        <w:rPr>
          <w:rFonts w:ascii="Arial" w:hAnsi="Arial" w:cs="Arial"/>
        </w:rPr>
        <w:t>HP:0001249</w:t>
      </w:r>
      <w:r w:rsidR="003549A8">
        <w:rPr>
          <w:rFonts w:ascii="Arial" w:hAnsi="Arial" w:cs="Arial"/>
        </w:rPr>
        <w:t xml:space="preserve">; 179 LTRs linked to 43 genes; Binominal FDR Q value = </w:t>
      </w:r>
      <w:r w:rsidR="003549A8" w:rsidRPr="00100FE1">
        <w:rPr>
          <w:rFonts w:ascii="Arial" w:hAnsi="Arial" w:cs="Arial"/>
        </w:rPr>
        <w:t>4.28E-31</w:t>
      </w:r>
      <w:r w:rsidR="003549A8">
        <w:rPr>
          <w:rFonts w:ascii="Arial" w:hAnsi="Arial" w:cs="Arial"/>
        </w:rPr>
        <w:t xml:space="preserve">) and </w:t>
      </w:r>
      <w:r>
        <w:rPr>
          <w:rFonts w:ascii="Arial" w:hAnsi="Arial" w:cs="Arial"/>
        </w:rPr>
        <w:t xml:space="preserve">a </w:t>
      </w:r>
      <w:r w:rsidR="003549A8">
        <w:rPr>
          <w:rFonts w:ascii="Arial" w:hAnsi="Arial" w:cs="Arial"/>
        </w:rPr>
        <w:t>severe form of Intellectual disability (</w:t>
      </w:r>
      <w:r w:rsidR="003549A8" w:rsidRPr="00100FE1">
        <w:rPr>
          <w:rFonts w:ascii="Arial" w:hAnsi="Arial" w:cs="Arial"/>
        </w:rPr>
        <w:t>HP:0010864</w:t>
      </w:r>
      <w:r w:rsidR="003549A8">
        <w:rPr>
          <w:rFonts w:ascii="Arial" w:hAnsi="Arial" w:cs="Arial"/>
        </w:rPr>
        <w:t xml:space="preserve">; 52 LTRs linked to 8 genes; Binominal FDR Q value = </w:t>
      </w:r>
      <w:r w:rsidR="003549A8" w:rsidRPr="00100FE1">
        <w:rPr>
          <w:rFonts w:ascii="Arial" w:hAnsi="Arial" w:cs="Arial"/>
        </w:rPr>
        <w:t>2.13E-24</w:t>
      </w:r>
      <w:r w:rsidR="003549A8">
        <w:rPr>
          <w:rFonts w:ascii="Arial" w:hAnsi="Arial" w:cs="Arial"/>
        </w:rPr>
        <w:t xml:space="preserve">); Syncope (HP:0001279; 35 LTRs linked to 11 genes; Binominal FDR Q value = </w:t>
      </w:r>
      <w:r w:rsidR="003549A8" w:rsidRPr="00100FE1">
        <w:rPr>
          <w:rFonts w:ascii="Arial" w:hAnsi="Arial" w:cs="Arial"/>
        </w:rPr>
        <w:t>5.46E-24</w:t>
      </w:r>
      <w:r w:rsidR="004A2050">
        <w:rPr>
          <w:rFonts w:ascii="Arial" w:hAnsi="Arial" w:cs="Arial"/>
        </w:rPr>
        <w:t xml:space="preserve">); </w:t>
      </w:r>
      <w:r w:rsidR="003549A8" w:rsidRPr="00100FE1">
        <w:rPr>
          <w:rFonts w:ascii="Arial" w:hAnsi="Arial" w:cs="Arial"/>
        </w:rPr>
        <w:t>Abnormality of cardiovascular system electrophysiology</w:t>
      </w:r>
      <w:r w:rsidR="003549A8">
        <w:rPr>
          <w:rFonts w:ascii="Arial" w:hAnsi="Arial" w:cs="Arial"/>
        </w:rPr>
        <w:t xml:space="preserve"> (</w:t>
      </w:r>
      <w:r w:rsidR="003549A8" w:rsidRPr="00100FE1">
        <w:rPr>
          <w:rFonts w:ascii="Arial" w:hAnsi="Arial" w:cs="Arial"/>
        </w:rPr>
        <w:t>HP:0030956</w:t>
      </w:r>
      <w:r w:rsidR="003549A8">
        <w:rPr>
          <w:rFonts w:ascii="Arial" w:hAnsi="Arial" w:cs="Arial"/>
        </w:rPr>
        <w:t xml:space="preserve">; 64 LTRs linked to 22 genes; Binominal FDR Q value = </w:t>
      </w:r>
      <w:r w:rsidR="003549A8" w:rsidRPr="00100FE1">
        <w:rPr>
          <w:rFonts w:ascii="Arial" w:hAnsi="Arial" w:cs="Arial"/>
        </w:rPr>
        <w:t>1.96E-26</w:t>
      </w:r>
      <w:r w:rsidR="003549A8">
        <w:rPr>
          <w:rFonts w:ascii="Arial" w:hAnsi="Arial" w:cs="Arial"/>
        </w:rPr>
        <w:t xml:space="preserve">); </w:t>
      </w:r>
      <w:r w:rsidR="004A2050">
        <w:rPr>
          <w:rFonts w:ascii="Arial" w:hAnsi="Arial" w:cs="Arial"/>
        </w:rPr>
        <w:t xml:space="preserve">and Seizures (HP:0001250; 160 LTRs linked to 36 genes; Binominal FDR Q value = </w:t>
      </w:r>
      <w:r w:rsidR="004A2050" w:rsidRPr="00F7783F">
        <w:rPr>
          <w:rFonts w:ascii="Arial" w:hAnsi="Arial" w:cs="Arial"/>
        </w:rPr>
        <w:t>5.19E-33</w:t>
      </w:r>
      <w:r w:rsidR="004A2050">
        <w:rPr>
          <w:rFonts w:ascii="Arial" w:hAnsi="Arial" w:cs="Arial"/>
        </w:rPr>
        <w:t xml:space="preserve">). </w:t>
      </w:r>
      <w:r w:rsidR="00827994">
        <w:rPr>
          <w:rFonts w:ascii="Arial" w:hAnsi="Arial" w:cs="Arial"/>
        </w:rPr>
        <w:t>The extended summa</w:t>
      </w:r>
      <w:r w:rsidR="00A77665">
        <w:rPr>
          <w:rFonts w:ascii="Arial" w:hAnsi="Arial" w:cs="Arial"/>
        </w:rPr>
        <w:t>ry illustrating selected finding</w:t>
      </w:r>
      <w:r w:rsidR="00827994">
        <w:rPr>
          <w:rFonts w:ascii="Arial" w:hAnsi="Arial" w:cs="Arial"/>
        </w:rPr>
        <w:t xml:space="preserve">s </w:t>
      </w:r>
      <w:r w:rsidR="00A77665">
        <w:rPr>
          <w:rFonts w:ascii="Arial" w:hAnsi="Arial" w:cs="Arial"/>
        </w:rPr>
        <w:t xml:space="preserve">derived from GO analyses of the Human Phenotype database related to human disorders is reported in the </w:t>
      </w:r>
      <w:r w:rsidR="00A77665" w:rsidRPr="00A77665">
        <w:rPr>
          <w:rFonts w:ascii="Arial" w:hAnsi="Arial" w:cs="Arial"/>
          <w:b/>
        </w:rPr>
        <w:t>Supplementary Summary S3</w:t>
      </w:r>
      <w:r w:rsidR="00A77665">
        <w:rPr>
          <w:rFonts w:ascii="Arial" w:hAnsi="Arial" w:cs="Arial"/>
        </w:rPr>
        <w:t xml:space="preserve">. </w:t>
      </w:r>
    </w:p>
    <w:p w:rsidR="00AB7A9A" w:rsidRPr="0009632E" w:rsidRDefault="007E2516" w:rsidP="0017119F">
      <w:pPr>
        <w:autoSpaceDE w:val="0"/>
        <w:autoSpaceDN w:val="0"/>
        <w:adjustRightInd w:val="0"/>
        <w:spacing w:after="0" w:line="360" w:lineRule="auto"/>
        <w:ind w:firstLine="720"/>
        <w:rPr>
          <w:rFonts w:ascii="Arial" w:hAnsi="Arial" w:cs="Arial"/>
        </w:rPr>
      </w:pPr>
      <w:r w:rsidRPr="0009632E">
        <w:rPr>
          <w:rFonts w:ascii="Arial" w:hAnsi="Arial" w:cs="Arial"/>
        </w:rPr>
        <w:t xml:space="preserve">GO Biological Process analyses identified multiple GRMs representing common significantly-enriched phenotypic traits associated with numerous GRNs. </w:t>
      </w:r>
      <w:r w:rsidR="001636B3" w:rsidRPr="0009632E">
        <w:rPr>
          <w:rFonts w:ascii="Arial" w:hAnsi="Arial" w:cs="Arial"/>
        </w:rPr>
        <w:t xml:space="preserve">Several GRMs common for the GRN </w:t>
      </w:r>
      <w:r w:rsidR="002D363D">
        <w:rPr>
          <w:rFonts w:ascii="Arial" w:hAnsi="Arial" w:cs="Arial"/>
        </w:rPr>
        <w:t>“</w:t>
      </w:r>
      <w:r w:rsidR="00AB7A9A" w:rsidRPr="0009632E">
        <w:rPr>
          <w:rFonts w:ascii="Arial" w:hAnsi="Arial" w:cs="Arial"/>
        </w:rPr>
        <w:t>Syna</w:t>
      </w:r>
      <w:r w:rsidR="001636B3" w:rsidRPr="0009632E">
        <w:rPr>
          <w:rFonts w:ascii="Arial" w:hAnsi="Arial" w:cs="Arial"/>
        </w:rPr>
        <w:t>pse Part</w:t>
      </w:r>
      <w:r w:rsidR="002D363D">
        <w:rPr>
          <w:rFonts w:ascii="Arial" w:hAnsi="Arial" w:cs="Arial"/>
        </w:rPr>
        <w:t>”</w:t>
      </w:r>
      <w:r w:rsidR="001636B3" w:rsidRPr="0009632E">
        <w:rPr>
          <w:rFonts w:ascii="Arial" w:hAnsi="Arial" w:cs="Arial"/>
        </w:rPr>
        <w:t xml:space="preserve"> and the GRN </w:t>
      </w:r>
      <w:r w:rsidR="002D363D">
        <w:rPr>
          <w:rFonts w:ascii="Arial" w:hAnsi="Arial" w:cs="Arial"/>
        </w:rPr>
        <w:t>“</w:t>
      </w:r>
      <w:proofErr w:type="spellStart"/>
      <w:r w:rsidR="001636B3" w:rsidRPr="0009632E">
        <w:rPr>
          <w:rFonts w:ascii="Arial" w:hAnsi="Arial" w:cs="Arial"/>
        </w:rPr>
        <w:t>Postsynapse</w:t>
      </w:r>
      <w:proofErr w:type="spellEnd"/>
      <w:r w:rsidR="002D363D">
        <w:rPr>
          <w:rFonts w:ascii="Arial" w:hAnsi="Arial" w:cs="Arial"/>
        </w:rPr>
        <w:t>”</w:t>
      </w:r>
      <w:r w:rsidR="001636B3" w:rsidRPr="0009632E">
        <w:rPr>
          <w:rFonts w:ascii="Arial" w:hAnsi="Arial" w:cs="Arial"/>
        </w:rPr>
        <w:t xml:space="preserve"> include </w:t>
      </w:r>
      <w:r w:rsidR="00AB7A9A" w:rsidRPr="0009632E">
        <w:rPr>
          <w:rFonts w:ascii="Arial" w:hAnsi="Arial" w:cs="Arial"/>
        </w:rPr>
        <w:t xml:space="preserve">regulation of amyloid precursor protein catabolic process; regulation of beta-amyloid formation; positive regulation of beta-amyloid formation; response to beta-amyloid; </w:t>
      </w:r>
      <w:r w:rsidR="005B3EE3" w:rsidRPr="0009632E">
        <w:rPr>
          <w:rFonts w:ascii="Arial" w:hAnsi="Arial" w:cs="Arial"/>
        </w:rPr>
        <w:t xml:space="preserve">and </w:t>
      </w:r>
      <w:r w:rsidR="00AB7A9A" w:rsidRPr="0009632E">
        <w:rPr>
          <w:rFonts w:ascii="Arial" w:hAnsi="Arial" w:cs="Arial"/>
        </w:rPr>
        <w:t>cellular response to beta-amyloid</w:t>
      </w:r>
      <w:r w:rsidR="005B3EE3" w:rsidRPr="0009632E">
        <w:rPr>
          <w:rFonts w:ascii="Arial" w:hAnsi="Arial" w:cs="Arial"/>
        </w:rPr>
        <w:t>.</w:t>
      </w:r>
    </w:p>
    <w:p w:rsidR="007E2516" w:rsidRPr="0009632E" w:rsidRDefault="001636B3" w:rsidP="0017119F">
      <w:pPr>
        <w:autoSpaceDE w:val="0"/>
        <w:autoSpaceDN w:val="0"/>
        <w:adjustRightInd w:val="0"/>
        <w:spacing w:after="0" w:line="360" w:lineRule="auto"/>
        <w:ind w:firstLine="720"/>
        <w:rPr>
          <w:rFonts w:ascii="Arial" w:hAnsi="Arial" w:cs="Arial"/>
        </w:rPr>
      </w:pPr>
      <w:r w:rsidRPr="0009632E">
        <w:rPr>
          <w:rFonts w:ascii="Arial" w:hAnsi="Arial" w:cs="Arial"/>
        </w:rPr>
        <w:t xml:space="preserve">GRNs </w:t>
      </w:r>
      <w:r w:rsidR="002D363D">
        <w:rPr>
          <w:rFonts w:ascii="Arial" w:hAnsi="Arial" w:cs="Arial"/>
        </w:rPr>
        <w:t>“</w:t>
      </w:r>
      <w:r w:rsidR="00AB7A9A" w:rsidRPr="0009632E">
        <w:rPr>
          <w:rFonts w:ascii="Arial" w:hAnsi="Arial" w:cs="Arial"/>
        </w:rPr>
        <w:t>Synapti</w:t>
      </w:r>
      <w:r w:rsidRPr="0009632E">
        <w:rPr>
          <w:rFonts w:ascii="Arial" w:hAnsi="Arial" w:cs="Arial"/>
        </w:rPr>
        <w:t>c Membrane</w:t>
      </w:r>
      <w:r w:rsidR="002D363D">
        <w:rPr>
          <w:rFonts w:ascii="Arial" w:hAnsi="Arial" w:cs="Arial"/>
        </w:rPr>
        <w:t>”</w:t>
      </w:r>
      <w:r w:rsidRPr="0009632E">
        <w:rPr>
          <w:rFonts w:ascii="Arial" w:hAnsi="Arial" w:cs="Arial"/>
        </w:rPr>
        <w:t xml:space="preserve"> and </w:t>
      </w:r>
      <w:r w:rsidR="002D363D">
        <w:rPr>
          <w:rFonts w:ascii="Arial" w:hAnsi="Arial" w:cs="Arial"/>
        </w:rPr>
        <w:t>“</w:t>
      </w:r>
      <w:r w:rsidRPr="0009632E">
        <w:rPr>
          <w:rFonts w:ascii="Arial" w:hAnsi="Arial" w:cs="Arial"/>
        </w:rPr>
        <w:t>Postsynaptic Membrane</w:t>
      </w:r>
      <w:r w:rsidR="002D363D">
        <w:rPr>
          <w:rFonts w:ascii="Arial" w:hAnsi="Arial" w:cs="Arial"/>
        </w:rPr>
        <w:t>”</w:t>
      </w:r>
      <w:r w:rsidRPr="0009632E">
        <w:rPr>
          <w:rFonts w:ascii="Arial" w:hAnsi="Arial" w:cs="Arial"/>
        </w:rPr>
        <w:t xml:space="preserve"> have several common GRMs, namely regulation of amyloid precursor protein catabolic process; regulation of beta-amyloid formation; </w:t>
      </w:r>
      <w:r w:rsidR="005B3EE3" w:rsidRPr="0009632E">
        <w:rPr>
          <w:rFonts w:ascii="Arial" w:hAnsi="Arial" w:cs="Arial"/>
        </w:rPr>
        <w:t xml:space="preserve">and </w:t>
      </w:r>
      <w:r w:rsidRPr="0009632E">
        <w:rPr>
          <w:rFonts w:ascii="Arial" w:hAnsi="Arial" w:cs="Arial"/>
        </w:rPr>
        <w:t xml:space="preserve">positive regulation of beta-amyloid formation. Similarly, common GRMs for the GRN </w:t>
      </w:r>
      <w:r w:rsidR="002D363D">
        <w:rPr>
          <w:rFonts w:ascii="Arial" w:hAnsi="Arial" w:cs="Arial"/>
        </w:rPr>
        <w:t>“</w:t>
      </w:r>
      <w:r w:rsidRPr="0009632E">
        <w:rPr>
          <w:rFonts w:ascii="Arial" w:hAnsi="Arial" w:cs="Arial"/>
        </w:rPr>
        <w:t>Trans-synaptic Signaling</w:t>
      </w:r>
      <w:r w:rsidR="002D363D">
        <w:rPr>
          <w:rFonts w:ascii="Arial" w:hAnsi="Arial" w:cs="Arial"/>
        </w:rPr>
        <w:t>”</w:t>
      </w:r>
      <w:r w:rsidRPr="0009632E">
        <w:rPr>
          <w:rFonts w:ascii="Arial" w:hAnsi="Arial" w:cs="Arial"/>
        </w:rPr>
        <w:t xml:space="preserve"> and the</w:t>
      </w:r>
      <w:r w:rsidR="008B7930">
        <w:rPr>
          <w:rFonts w:ascii="Arial" w:hAnsi="Arial" w:cs="Arial"/>
        </w:rPr>
        <w:t xml:space="preserve"> GRN </w:t>
      </w:r>
      <w:r w:rsidR="002D363D">
        <w:rPr>
          <w:rFonts w:ascii="Arial" w:hAnsi="Arial" w:cs="Arial"/>
        </w:rPr>
        <w:t>“</w:t>
      </w:r>
      <w:r w:rsidR="008B7930">
        <w:rPr>
          <w:rFonts w:ascii="Arial" w:hAnsi="Arial" w:cs="Arial"/>
        </w:rPr>
        <w:t>Chemical Synaptic Transmission</w:t>
      </w:r>
      <w:r w:rsidR="002D363D">
        <w:rPr>
          <w:rFonts w:ascii="Arial" w:hAnsi="Arial" w:cs="Arial"/>
        </w:rPr>
        <w:t>”</w:t>
      </w:r>
      <w:r w:rsidRPr="0009632E">
        <w:rPr>
          <w:rFonts w:ascii="Arial" w:hAnsi="Arial" w:cs="Arial"/>
        </w:rPr>
        <w:t xml:space="preserve"> are </w:t>
      </w:r>
      <w:r w:rsidR="005B3EE3" w:rsidRPr="0009632E">
        <w:rPr>
          <w:rFonts w:ascii="Arial" w:hAnsi="Arial" w:cs="Arial"/>
        </w:rPr>
        <w:t xml:space="preserve">beta-amyloid metabolic process; response to beta-amyloid; and cellular response to beta-amyloid; while the GRM </w:t>
      </w:r>
      <w:r w:rsidR="002D363D">
        <w:rPr>
          <w:rFonts w:ascii="Arial" w:hAnsi="Arial" w:cs="Arial"/>
        </w:rPr>
        <w:t>“</w:t>
      </w:r>
      <w:r w:rsidRPr="0009632E">
        <w:rPr>
          <w:rFonts w:ascii="Arial" w:hAnsi="Arial" w:cs="Arial"/>
        </w:rPr>
        <w:t>Regulation of Membrane Potential</w:t>
      </w:r>
      <w:r w:rsidR="002D363D">
        <w:rPr>
          <w:rFonts w:ascii="Arial" w:hAnsi="Arial" w:cs="Arial"/>
        </w:rPr>
        <w:t>”</w:t>
      </w:r>
      <w:r w:rsidRPr="0009632E">
        <w:rPr>
          <w:rFonts w:ascii="Arial" w:hAnsi="Arial" w:cs="Arial"/>
        </w:rPr>
        <w:t xml:space="preserve"> </w:t>
      </w:r>
      <w:r w:rsidR="005B3EE3" w:rsidRPr="0009632E">
        <w:rPr>
          <w:rFonts w:ascii="Arial" w:hAnsi="Arial" w:cs="Arial"/>
        </w:rPr>
        <w:t xml:space="preserve">harbors a set of functionally-related GRMs, namely regulation of beta-amyloid formation; positive regulation of beta-amyloid formation; response to beta-amyloid; and cellular response to beta-amyloid. </w:t>
      </w:r>
    </w:p>
    <w:p w:rsidR="0009632E" w:rsidRDefault="00A611E3" w:rsidP="0017119F">
      <w:pPr>
        <w:autoSpaceDE w:val="0"/>
        <w:autoSpaceDN w:val="0"/>
        <w:adjustRightInd w:val="0"/>
        <w:spacing w:after="0" w:line="360" w:lineRule="auto"/>
        <w:ind w:firstLine="720"/>
        <w:rPr>
          <w:rFonts w:ascii="Arial" w:hAnsi="Arial" w:cs="Arial"/>
        </w:rPr>
      </w:pPr>
      <w:r w:rsidRPr="0009632E">
        <w:rPr>
          <w:rFonts w:ascii="Arial" w:hAnsi="Arial" w:cs="Arial"/>
        </w:rPr>
        <w:t>GO Molecular Function analyses identified several GRMs representing common significantly-enriched phenotypic traits associated with seven GRNs, namely</w:t>
      </w:r>
      <w:r>
        <w:rPr>
          <w:rFonts w:ascii="Arial" w:hAnsi="Arial" w:cs="Arial"/>
          <w:b/>
        </w:rPr>
        <w:t xml:space="preserve"> </w:t>
      </w:r>
      <w:r w:rsidR="002D363D">
        <w:rPr>
          <w:rFonts w:ascii="Arial" w:hAnsi="Arial" w:cs="Arial"/>
          <w:b/>
        </w:rPr>
        <w:t>“</w:t>
      </w:r>
      <w:r>
        <w:rPr>
          <w:rFonts w:ascii="Arial" w:hAnsi="Arial" w:cs="Arial"/>
        </w:rPr>
        <w:t>Synapse Part</w:t>
      </w:r>
      <w:r w:rsidR="002D363D">
        <w:rPr>
          <w:rFonts w:ascii="Arial" w:hAnsi="Arial" w:cs="Arial"/>
        </w:rPr>
        <w:t>”</w:t>
      </w:r>
      <w:r>
        <w:rPr>
          <w:rFonts w:ascii="Arial" w:hAnsi="Arial" w:cs="Arial"/>
        </w:rPr>
        <w:t xml:space="preserve">; </w:t>
      </w:r>
      <w:r w:rsidR="002D363D">
        <w:rPr>
          <w:rFonts w:ascii="Arial" w:hAnsi="Arial" w:cs="Arial"/>
        </w:rPr>
        <w:t>“</w:t>
      </w:r>
      <w:proofErr w:type="spellStart"/>
      <w:r>
        <w:rPr>
          <w:rFonts w:ascii="Arial" w:hAnsi="Arial" w:cs="Arial"/>
        </w:rPr>
        <w:t>Postsynapse</w:t>
      </w:r>
      <w:proofErr w:type="spellEnd"/>
      <w:r w:rsidR="002D363D">
        <w:rPr>
          <w:rFonts w:ascii="Arial" w:hAnsi="Arial" w:cs="Arial"/>
        </w:rPr>
        <w:t>”</w:t>
      </w:r>
      <w:r>
        <w:rPr>
          <w:rFonts w:ascii="Arial" w:hAnsi="Arial" w:cs="Arial"/>
        </w:rPr>
        <w:t xml:space="preserve">; </w:t>
      </w:r>
      <w:r w:rsidR="002D363D">
        <w:rPr>
          <w:rFonts w:ascii="Arial" w:hAnsi="Arial" w:cs="Arial"/>
        </w:rPr>
        <w:t>“</w:t>
      </w:r>
      <w:r>
        <w:rPr>
          <w:rFonts w:ascii="Arial" w:hAnsi="Arial" w:cs="Arial"/>
        </w:rPr>
        <w:t>Synaptic Membrane</w:t>
      </w:r>
      <w:r w:rsidR="002D363D">
        <w:rPr>
          <w:rFonts w:ascii="Arial" w:hAnsi="Arial" w:cs="Arial"/>
        </w:rPr>
        <w:t>”</w:t>
      </w:r>
      <w:r>
        <w:rPr>
          <w:rFonts w:ascii="Arial" w:hAnsi="Arial" w:cs="Arial"/>
        </w:rPr>
        <w:t xml:space="preserve">; </w:t>
      </w:r>
      <w:r w:rsidR="002D363D">
        <w:rPr>
          <w:rFonts w:ascii="Arial" w:hAnsi="Arial" w:cs="Arial"/>
        </w:rPr>
        <w:t>“</w:t>
      </w:r>
      <w:r>
        <w:rPr>
          <w:rFonts w:ascii="Arial" w:hAnsi="Arial" w:cs="Arial"/>
        </w:rPr>
        <w:t>Postsynaptic Membrane</w:t>
      </w:r>
      <w:r w:rsidR="002D363D">
        <w:rPr>
          <w:rFonts w:ascii="Arial" w:hAnsi="Arial" w:cs="Arial"/>
        </w:rPr>
        <w:t>”</w:t>
      </w:r>
      <w:r>
        <w:rPr>
          <w:rFonts w:ascii="Arial" w:hAnsi="Arial" w:cs="Arial"/>
        </w:rPr>
        <w:t xml:space="preserve">; </w:t>
      </w:r>
      <w:r w:rsidR="002D363D">
        <w:rPr>
          <w:rFonts w:ascii="Arial" w:hAnsi="Arial" w:cs="Arial"/>
        </w:rPr>
        <w:t>“</w:t>
      </w:r>
      <w:r>
        <w:rPr>
          <w:rFonts w:ascii="Arial" w:hAnsi="Arial" w:cs="Arial"/>
        </w:rPr>
        <w:t>Trans-synaptic Signaling</w:t>
      </w:r>
      <w:r w:rsidR="002D363D">
        <w:rPr>
          <w:rFonts w:ascii="Arial" w:hAnsi="Arial" w:cs="Arial"/>
        </w:rPr>
        <w:t>”</w:t>
      </w:r>
      <w:r>
        <w:rPr>
          <w:rFonts w:ascii="Arial" w:hAnsi="Arial" w:cs="Arial"/>
        </w:rPr>
        <w:t xml:space="preserve">; </w:t>
      </w:r>
      <w:r w:rsidR="002D363D">
        <w:rPr>
          <w:rFonts w:ascii="Arial" w:hAnsi="Arial" w:cs="Arial"/>
        </w:rPr>
        <w:t>“</w:t>
      </w:r>
      <w:r>
        <w:rPr>
          <w:rFonts w:ascii="Arial" w:hAnsi="Arial" w:cs="Arial"/>
        </w:rPr>
        <w:t>Chemical Synaptic Transmission</w:t>
      </w:r>
      <w:r w:rsidR="002D363D">
        <w:rPr>
          <w:rFonts w:ascii="Arial" w:hAnsi="Arial" w:cs="Arial"/>
        </w:rPr>
        <w:t>”</w:t>
      </w:r>
      <w:r>
        <w:rPr>
          <w:rFonts w:ascii="Arial" w:hAnsi="Arial" w:cs="Arial"/>
        </w:rPr>
        <w:t xml:space="preserve">; </w:t>
      </w:r>
      <w:r w:rsidR="002D363D">
        <w:rPr>
          <w:rFonts w:ascii="Arial" w:hAnsi="Arial" w:cs="Arial"/>
        </w:rPr>
        <w:t>“</w:t>
      </w:r>
      <w:r>
        <w:rPr>
          <w:rFonts w:ascii="Arial" w:hAnsi="Arial" w:cs="Arial"/>
        </w:rPr>
        <w:t>Regulation of Membrane Potential</w:t>
      </w:r>
      <w:r w:rsidR="002D363D">
        <w:rPr>
          <w:rFonts w:ascii="Arial" w:hAnsi="Arial" w:cs="Arial"/>
        </w:rPr>
        <w:t>”</w:t>
      </w:r>
      <w:r>
        <w:rPr>
          <w:rFonts w:ascii="Arial" w:hAnsi="Arial" w:cs="Arial"/>
        </w:rPr>
        <w:t xml:space="preserve">. </w:t>
      </w:r>
      <w:r w:rsidR="0009632E">
        <w:rPr>
          <w:rFonts w:ascii="Arial" w:hAnsi="Arial" w:cs="Arial"/>
        </w:rPr>
        <w:t xml:space="preserve">A set of common GRMs shared by these GRNs include beta-amyloid binding; ionotropic glutamate receptor activity; </w:t>
      </w:r>
      <w:proofErr w:type="spellStart"/>
      <w:r w:rsidR="0009632E">
        <w:rPr>
          <w:rFonts w:ascii="Arial" w:hAnsi="Arial" w:cs="Arial"/>
        </w:rPr>
        <w:t>kainate</w:t>
      </w:r>
      <w:proofErr w:type="spellEnd"/>
      <w:r w:rsidR="0009632E">
        <w:rPr>
          <w:rFonts w:ascii="Arial" w:hAnsi="Arial" w:cs="Arial"/>
        </w:rPr>
        <w:t xml:space="preserve"> selective glutamate receptor; NMDA glutamate receptor; AMPA glutamate receptor. Interestingly, the GO Molecular Function terms ionotropic glutamate receptor activity; </w:t>
      </w:r>
      <w:proofErr w:type="spellStart"/>
      <w:r w:rsidR="0009632E">
        <w:rPr>
          <w:rFonts w:ascii="Arial" w:hAnsi="Arial" w:cs="Arial"/>
        </w:rPr>
        <w:t>kainate</w:t>
      </w:r>
      <w:proofErr w:type="spellEnd"/>
      <w:r w:rsidR="0009632E">
        <w:rPr>
          <w:rFonts w:ascii="Arial" w:hAnsi="Arial" w:cs="Arial"/>
        </w:rPr>
        <w:t xml:space="preserve"> selective glutamate receptor; NMDA glutamate receptor; AMPA glutamate receptor represent the exactly same </w:t>
      </w:r>
      <w:r w:rsidR="0009632E">
        <w:rPr>
          <w:rFonts w:ascii="Arial" w:hAnsi="Arial" w:cs="Arial"/>
        </w:rPr>
        <w:lastRenderedPageBreak/>
        <w:t>selection of phenotypic traits that were identified as down-stream regulatory targets of human-specific LTR7 and LTR5_Hs loci (</w:t>
      </w:r>
      <w:proofErr w:type="spellStart"/>
      <w:r w:rsidR="0009632E">
        <w:rPr>
          <w:rFonts w:ascii="Arial" w:hAnsi="Arial" w:cs="Arial"/>
        </w:rPr>
        <w:t>Glinsky</w:t>
      </w:r>
      <w:proofErr w:type="spellEnd"/>
      <w:r w:rsidR="0009632E">
        <w:rPr>
          <w:rFonts w:ascii="Arial" w:hAnsi="Arial" w:cs="Arial"/>
        </w:rPr>
        <w:t xml:space="preserve">, 2022). </w:t>
      </w:r>
    </w:p>
    <w:p w:rsidR="005C4EBE" w:rsidRDefault="005C4EBE" w:rsidP="0017119F">
      <w:pPr>
        <w:autoSpaceDE w:val="0"/>
        <w:autoSpaceDN w:val="0"/>
        <w:adjustRightInd w:val="0"/>
        <w:spacing w:after="0" w:line="360" w:lineRule="auto"/>
        <w:ind w:firstLine="720"/>
        <w:rPr>
          <w:rFonts w:ascii="Arial" w:hAnsi="Arial" w:cs="Arial"/>
        </w:rPr>
      </w:pPr>
      <w:r>
        <w:rPr>
          <w:rFonts w:ascii="Arial" w:hAnsi="Arial" w:cs="Arial"/>
        </w:rPr>
        <w:t>Overall, genes linked to phenotypic traits reflecting various aspects of physiological and pathological processes associat</w:t>
      </w:r>
      <w:r w:rsidR="00B17B3D">
        <w:rPr>
          <w:rFonts w:ascii="Arial" w:hAnsi="Arial" w:cs="Arial"/>
        </w:rPr>
        <w:t xml:space="preserve">ed with the biogenesis, metabolism, and functions of </w:t>
      </w:r>
      <w:r>
        <w:rPr>
          <w:rFonts w:ascii="Arial" w:hAnsi="Arial" w:cs="Arial"/>
        </w:rPr>
        <w:t xml:space="preserve">the amyloid precursor protein and beta-amyloid </w:t>
      </w:r>
      <w:r w:rsidR="002D363D">
        <w:rPr>
          <w:rFonts w:ascii="Arial" w:hAnsi="Arial" w:cs="Arial"/>
        </w:rPr>
        <w:t xml:space="preserve">peptides </w:t>
      </w:r>
      <w:r>
        <w:rPr>
          <w:rFonts w:ascii="Arial" w:hAnsi="Arial" w:cs="Arial"/>
        </w:rPr>
        <w:t xml:space="preserve">appear to represent one of the down-stream targets of preference </w:t>
      </w:r>
      <w:r w:rsidR="00B17B3D">
        <w:rPr>
          <w:rFonts w:ascii="Arial" w:hAnsi="Arial" w:cs="Arial"/>
        </w:rPr>
        <w:t xml:space="preserve">during the evolution of human embryo </w:t>
      </w:r>
      <w:r w:rsidR="002F5992">
        <w:rPr>
          <w:rFonts w:ascii="Arial" w:hAnsi="Arial" w:cs="Arial"/>
        </w:rPr>
        <w:t>regulatory LTR</w:t>
      </w:r>
      <w:r w:rsidR="00B17B3D">
        <w:rPr>
          <w:rFonts w:ascii="Arial" w:hAnsi="Arial" w:cs="Arial"/>
        </w:rPr>
        <w:t xml:space="preserve"> elements. </w:t>
      </w:r>
    </w:p>
    <w:p w:rsidR="0017119F" w:rsidRDefault="0017119F" w:rsidP="0017119F">
      <w:pPr>
        <w:autoSpaceDE w:val="0"/>
        <w:autoSpaceDN w:val="0"/>
        <w:adjustRightInd w:val="0"/>
        <w:spacing w:after="0" w:line="360" w:lineRule="auto"/>
        <w:rPr>
          <w:rFonts w:ascii="Arial" w:hAnsi="Arial" w:cs="Arial"/>
        </w:rPr>
      </w:pPr>
    </w:p>
    <w:p w:rsidR="0017119F" w:rsidRPr="007A3556" w:rsidRDefault="0017119F" w:rsidP="0017119F">
      <w:pPr>
        <w:autoSpaceDE w:val="0"/>
        <w:autoSpaceDN w:val="0"/>
        <w:adjustRightInd w:val="0"/>
        <w:spacing w:after="0" w:line="360" w:lineRule="auto"/>
        <w:rPr>
          <w:rFonts w:ascii="Arial" w:hAnsi="Arial" w:cs="Arial"/>
          <w:b/>
        </w:rPr>
      </w:pPr>
      <w:r w:rsidRPr="007A3556">
        <w:rPr>
          <w:rFonts w:ascii="Arial" w:hAnsi="Arial" w:cs="Arial"/>
          <w:b/>
        </w:rPr>
        <w:t xml:space="preserve">Validation of GRNs and GRMs governed by human embryo </w:t>
      </w:r>
      <w:r>
        <w:rPr>
          <w:rFonts w:ascii="Arial" w:hAnsi="Arial" w:cs="Arial"/>
          <w:b/>
        </w:rPr>
        <w:t>regulatory LTR</w:t>
      </w:r>
      <w:r w:rsidRPr="007A3556">
        <w:rPr>
          <w:rFonts w:ascii="Arial" w:hAnsi="Arial" w:cs="Arial"/>
          <w:b/>
        </w:rPr>
        <w:t xml:space="preserve"> elements </w:t>
      </w:r>
      <w:r>
        <w:rPr>
          <w:rFonts w:ascii="Arial" w:hAnsi="Arial" w:cs="Arial"/>
          <w:b/>
        </w:rPr>
        <w:t xml:space="preserve">employing </w:t>
      </w:r>
      <w:r w:rsidRPr="007A3556">
        <w:rPr>
          <w:rFonts w:ascii="Arial" w:hAnsi="Arial" w:cs="Arial"/>
          <w:b/>
        </w:rPr>
        <w:t>the directed acyclic graph</w:t>
      </w:r>
      <w:r>
        <w:rPr>
          <w:rFonts w:ascii="Arial" w:hAnsi="Arial" w:cs="Arial"/>
          <w:b/>
        </w:rPr>
        <w:t xml:space="preserve"> (DAG)</w:t>
      </w:r>
      <w:r w:rsidRPr="007A3556">
        <w:rPr>
          <w:rFonts w:ascii="Arial" w:hAnsi="Arial" w:cs="Arial"/>
          <w:b/>
        </w:rPr>
        <w:t xml:space="preserve"> analysis.</w:t>
      </w:r>
    </w:p>
    <w:p w:rsidR="0017119F" w:rsidRDefault="0017119F" w:rsidP="0017119F">
      <w:pPr>
        <w:autoSpaceDE w:val="0"/>
        <w:autoSpaceDN w:val="0"/>
        <w:adjustRightInd w:val="0"/>
        <w:spacing w:after="0" w:line="360" w:lineRule="auto"/>
        <w:rPr>
          <w:rFonts w:ascii="Arial" w:hAnsi="Arial" w:cs="Arial"/>
        </w:rPr>
      </w:pPr>
      <w:r>
        <w:rPr>
          <w:rFonts w:ascii="Arial" w:hAnsi="Arial" w:cs="Arial"/>
        </w:rPr>
        <w:t xml:space="preserve">It was important to confirm the validity of statistical definitions of GRNs and GRMs based on the binominal and </w:t>
      </w:r>
      <w:proofErr w:type="spellStart"/>
      <w:r>
        <w:rPr>
          <w:rFonts w:ascii="Arial" w:hAnsi="Arial" w:cs="Arial"/>
        </w:rPr>
        <w:t>hypergeometrc</w:t>
      </w:r>
      <w:proofErr w:type="spellEnd"/>
      <w:r>
        <w:rPr>
          <w:rFonts w:ascii="Arial" w:hAnsi="Arial" w:cs="Arial"/>
        </w:rPr>
        <w:t xml:space="preserve"> FDR Q values (</w:t>
      </w:r>
      <w:r w:rsidRPr="00106AD4">
        <w:rPr>
          <w:rFonts w:ascii="Arial" w:hAnsi="Arial" w:cs="Arial"/>
        </w:rPr>
        <w:t>Methods</w:t>
      </w:r>
      <w:r>
        <w:rPr>
          <w:rFonts w:ascii="Arial" w:hAnsi="Arial" w:cs="Arial"/>
        </w:rPr>
        <w:t xml:space="preserve">) employing independent analytical approaches. To this end, </w:t>
      </w:r>
      <w:r w:rsidRPr="00D4416C">
        <w:rPr>
          <w:rFonts w:ascii="Arial" w:hAnsi="Arial" w:cs="Arial"/>
        </w:rPr>
        <w:t>a direc</w:t>
      </w:r>
      <w:r>
        <w:rPr>
          <w:rFonts w:ascii="Arial" w:hAnsi="Arial" w:cs="Arial"/>
        </w:rPr>
        <w:t>ted acyclic graph (DAG) test</w:t>
      </w:r>
      <w:r w:rsidRPr="00D4416C">
        <w:rPr>
          <w:rFonts w:ascii="Arial" w:hAnsi="Arial" w:cs="Arial"/>
        </w:rPr>
        <w:t xml:space="preserve"> based on the enriched terms from a sing</w:t>
      </w:r>
      <w:r>
        <w:rPr>
          <w:rFonts w:ascii="Arial" w:hAnsi="Arial" w:cs="Arial"/>
        </w:rPr>
        <w:t>le ontology-specific table generated</w:t>
      </w:r>
      <w:r w:rsidRPr="00D4416C">
        <w:rPr>
          <w:rFonts w:ascii="Arial" w:hAnsi="Arial" w:cs="Arial"/>
        </w:rPr>
        <w:t xml:space="preserve"> by a GREAT algorithm</w:t>
      </w:r>
      <w:r>
        <w:rPr>
          <w:rFonts w:ascii="Arial" w:hAnsi="Arial" w:cs="Arial"/>
        </w:rPr>
        <w:t xml:space="preserve"> has been employed (</w:t>
      </w:r>
      <w:r>
        <w:rPr>
          <w:rFonts w:ascii="Arial" w:hAnsi="Arial" w:cs="Arial"/>
          <w:b/>
        </w:rPr>
        <w:t>Figures 2-3</w:t>
      </w:r>
      <w:r w:rsidRPr="00DD6FEC">
        <w:rPr>
          <w:rFonts w:ascii="Arial" w:hAnsi="Arial" w:cs="Arial"/>
          <w:b/>
        </w:rPr>
        <w:t>;</w:t>
      </w:r>
      <w:r>
        <w:rPr>
          <w:rFonts w:ascii="Arial" w:hAnsi="Arial" w:cs="Arial"/>
        </w:rPr>
        <w:t xml:space="preserve"> </w:t>
      </w:r>
      <w:r w:rsidRPr="00DD6FEC">
        <w:rPr>
          <w:rFonts w:ascii="Arial" w:hAnsi="Arial" w:cs="Arial"/>
          <w:b/>
        </w:rPr>
        <w:t>Table 3</w:t>
      </w:r>
      <w:r>
        <w:rPr>
          <w:rFonts w:ascii="Arial" w:hAnsi="Arial" w:cs="Arial"/>
          <w:b/>
        </w:rPr>
        <w:t>; Supplementary Data Sets S1: GRN1-GRN26</w:t>
      </w:r>
      <w:r>
        <w:rPr>
          <w:rFonts w:ascii="Arial" w:hAnsi="Arial" w:cs="Arial"/>
        </w:rPr>
        <w:t>).</w:t>
      </w:r>
    </w:p>
    <w:p w:rsidR="0017119F" w:rsidRDefault="0017119F" w:rsidP="0017119F">
      <w:pPr>
        <w:autoSpaceDE w:val="0"/>
        <w:autoSpaceDN w:val="0"/>
        <w:adjustRightInd w:val="0"/>
        <w:spacing w:after="0" w:line="360" w:lineRule="auto"/>
        <w:ind w:firstLine="720"/>
        <w:rPr>
          <w:rFonts w:ascii="Arial" w:hAnsi="Arial" w:cs="Arial"/>
        </w:rPr>
      </w:pPr>
      <w:r>
        <w:rPr>
          <w:rFonts w:ascii="Arial" w:hAnsi="Arial" w:cs="Arial"/>
        </w:rPr>
        <w:t>Patterns and directions of connections between significantly enriched GO modules are guided by the experimentally-documented temporal logic of developmental processes and structural/functional relationships between gene ontology enrichment analysis-defined statistically significant terms. Therefore, only statistically significant GRMs from a single gene ontology-specific table generated by the GREAT algorithm that manifest connectivity patterns defined by experimentally documented developmental and/or structure/function/activity relationships are deemed valid observations and visualized as a consensus hierarchy network of the ontology-specific DAGs (</w:t>
      </w:r>
      <w:r>
        <w:rPr>
          <w:rFonts w:ascii="Arial" w:hAnsi="Arial" w:cs="Arial"/>
          <w:b/>
        </w:rPr>
        <w:t>Figures 2-3</w:t>
      </w:r>
      <w:r w:rsidRPr="00690BAA">
        <w:rPr>
          <w:rFonts w:ascii="Arial" w:hAnsi="Arial" w:cs="Arial"/>
          <w:b/>
        </w:rPr>
        <w:t>; Table</w:t>
      </w:r>
      <w:r>
        <w:rPr>
          <w:rFonts w:ascii="Arial" w:hAnsi="Arial" w:cs="Arial"/>
          <w:b/>
        </w:rPr>
        <w:t>s 3-5; Supplementary Data Sets S1: GRN1-GRN26</w:t>
      </w:r>
      <w:r>
        <w:rPr>
          <w:rFonts w:ascii="Arial" w:hAnsi="Arial" w:cs="Arial"/>
        </w:rPr>
        <w:t xml:space="preserve">). Based on these considerations, the DAG algorithm draw the developmental and structure/function/activity relationships-guided hierarchy of connectivity between statistically significant gene ontology enriched GRMs. Visualization snapshots of representative examples illustrating the individual ontology-specific DAGs are reported in the </w:t>
      </w:r>
      <w:r>
        <w:rPr>
          <w:rFonts w:ascii="Arial" w:hAnsi="Arial" w:cs="Arial"/>
          <w:b/>
        </w:rPr>
        <w:t xml:space="preserve">Figures 2-3 </w:t>
      </w:r>
      <w:r w:rsidRPr="00B87629">
        <w:rPr>
          <w:rFonts w:ascii="Arial" w:hAnsi="Arial" w:cs="Arial"/>
        </w:rPr>
        <w:t xml:space="preserve">and comprehensive reports </w:t>
      </w:r>
      <w:r>
        <w:rPr>
          <w:rFonts w:ascii="Arial" w:hAnsi="Arial" w:cs="Arial"/>
        </w:rPr>
        <w:t xml:space="preserve">of quantitative and qualitative components of these analyses </w:t>
      </w:r>
      <w:r w:rsidRPr="00B87629">
        <w:rPr>
          <w:rFonts w:ascii="Arial" w:hAnsi="Arial" w:cs="Arial"/>
        </w:rPr>
        <w:t>are presented in</w:t>
      </w:r>
      <w:r>
        <w:rPr>
          <w:rFonts w:ascii="Arial" w:hAnsi="Arial" w:cs="Arial"/>
          <w:b/>
        </w:rPr>
        <w:t xml:space="preserve"> </w:t>
      </w:r>
      <w:r w:rsidRPr="00B87629">
        <w:rPr>
          <w:rFonts w:ascii="Arial" w:hAnsi="Arial" w:cs="Arial"/>
          <w:b/>
        </w:rPr>
        <w:t>Tables 3-</w:t>
      </w:r>
      <w:r>
        <w:rPr>
          <w:rFonts w:ascii="Arial" w:hAnsi="Arial" w:cs="Arial"/>
          <w:b/>
        </w:rPr>
        <w:t>5</w:t>
      </w:r>
      <w:r w:rsidRPr="00B87629">
        <w:rPr>
          <w:rFonts w:ascii="Arial" w:hAnsi="Arial" w:cs="Arial"/>
          <w:b/>
        </w:rPr>
        <w:t xml:space="preserve">; Supplementary Data Sets </w:t>
      </w:r>
      <w:r>
        <w:rPr>
          <w:rFonts w:ascii="Arial" w:hAnsi="Arial" w:cs="Arial"/>
          <w:b/>
        </w:rPr>
        <w:t>S1: GRN1-GRN26</w:t>
      </w:r>
      <w:r>
        <w:rPr>
          <w:rFonts w:ascii="Arial" w:hAnsi="Arial" w:cs="Arial"/>
        </w:rPr>
        <w:t xml:space="preserve">. </w:t>
      </w:r>
    </w:p>
    <w:p w:rsidR="0017119F" w:rsidRDefault="0017119F" w:rsidP="0017119F">
      <w:pPr>
        <w:autoSpaceDE w:val="0"/>
        <w:autoSpaceDN w:val="0"/>
        <w:adjustRightInd w:val="0"/>
        <w:spacing w:after="0" w:line="360" w:lineRule="auto"/>
        <w:ind w:firstLine="720"/>
        <w:rPr>
          <w:rFonts w:ascii="Arial" w:hAnsi="Arial" w:cs="Arial"/>
        </w:rPr>
      </w:pPr>
      <w:r>
        <w:rPr>
          <w:rFonts w:ascii="Arial" w:hAnsi="Arial" w:cs="Arial"/>
        </w:rPr>
        <w:t xml:space="preserve">GO analyses of Mouse phenotype databases and GSEA of the </w:t>
      </w:r>
      <w:r w:rsidRPr="00E65921">
        <w:rPr>
          <w:rFonts w:ascii="Arial" w:hAnsi="Arial" w:cs="Arial"/>
        </w:rPr>
        <w:t>MGI Mammalian Phenotype Level 4 2021</w:t>
      </w:r>
      <w:r>
        <w:rPr>
          <w:rFonts w:ascii="Arial" w:hAnsi="Arial" w:cs="Arial"/>
        </w:rPr>
        <w:t xml:space="preserve"> database revealed that genes comprising down-stream regulatory targets of human embryo regulatory LTRs affect development and functions of essentially all major tissues, organs, and organ systems. These include central and peripheral nervous systems, cardio-vascular (circulatory) and lymphatic systems, gastrointestinal (digestive) and urinary (excretory) systems, musculoskeletal and respiratory systems, endocrine and immune systems, as well as integumentary and reproductive systems. Analyses of single gene KO models revealed profound developmental defects and numerous examples of organogenesis failures, indicating that activities of regulatory LTR down-stream target genes are essential for development and functions of major organs and organ systems. </w:t>
      </w:r>
    </w:p>
    <w:p w:rsidR="0017119F" w:rsidRPr="00B1036F" w:rsidRDefault="0017119F" w:rsidP="0017119F">
      <w:pPr>
        <w:autoSpaceDE w:val="0"/>
        <w:autoSpaceDN w:val="0"/>
        <w:adjustRightInd w:val="0"/>
        <w:spacing w:after="0" w:line="360" w:lineRule="auto"/>
        <w:ind w:firstLine="720"/>
        <w:rPr>
          <w:rFonts w:ascii="Arial" w:hAnsi="Arial" w:cs="Arial"/>
          <w:color w:val="000000"/>
        </w:rPr>
      </w:pPr>
      <w:r w:rsidRPr="00B1036F">
        <w:rPr>
          <w:rFonts w:ascii="Arial" w:hAnsi="Arial" w:cs="Arial"/>
        </w:rPr>
        <w:t xml:space="preserve">Of potentially major interest are observations that all 26 GRNs governed by human embryo </w:t>
      </w:r>
      <w:r>
        <w:rPr>
          <w:rFonts w:ascii="Arial" w:hAnsi="Arial" w:cs="Arial"/>
        </w:rPr>
        <w:t>regulatory LTR</w:t>
      </w:r>
      <w:r w:rsidRPr="00B1036F">
        <w:rPr>
          <w:rFonts w:ascii="Arial" w:hAnsi="Arial" w:cs="Arial"/>
        </w:rPr>
        <w:t xml:space="preserve"> elements harbor significantly enriched records of GRMs annotated to multiple distinct GO terms of </w:t>
      </w:r>
      <w:r w:rsidRPr="00B1036F">
        <w:rPr>
          <w:rFonts w:ascii="Arial" w:hAnsi="Arial" w:cs="Arial"/>
        </w:rPr>
        <w:lastRenderedPageBreak/>
        <w:t>Mammalian Offspring’s Survival (MOS) phenotypes (</w:t>
      </w:r>
      <w:r w:rsidRPr="00B1036F">
        <w:rPr>
          <w:rFonts w:ascii="Arial" w:hAnsi="Arial" w:cs="Arial"/>
          <w:b/>
        </w:rPr>
        <w:t>Table 6; Supplementary Data Set S1: GRN1-GRN26</w:t>
      </w:r>
      <w:r w:rsidRPr="00B1036F">
        <w:rPr>
          <w:rFonts w:ascii="Arial" w:hAnsi="Arial" w:cs="Arial"/>
        </w:rPr>
        <w:t xml:space="preserve">). For example, GRN2 </w:t>
      </w:r>
      <w:r>
        <w:rPr>
          <w:rFonts w:ascii="Arial" w:hAnsi="Arial" w:cs="Arial"/>
        </w:rPr>
        <w:t>“</w:t>
      </w:r>
      <w:r w:rsidRPr="00B1036F">
        <w:rPr>
          <w:rFonts w:ascii="Arial" w:hAnsi="Arial" w:cs="Arial"/>
        </w:rPr>
        <w:t>Regulation of nervous system development</w:t>
      </w:r>
      <w:r>
        <w:rPr>
          <w:rFonts w:ascii="Arial" w:hAnsi="Arial" w:cs="Arial"/>
        </w:rPr>
        <w:t>”</w:t>
      </w:r>
      <w:r w:rsidRPr="00B1036F">
        <w:rPr>
          <w:rFonts w:ascii="Arial" w:hAnsi="Arial" w:cs="Arial"/>
        </w:rPr>
        <w:t xml:space="preserve"> (</w:t>
      </w:r>
      <w:r w:rsidRPr="00B1036F">
        <w:rPr>
          <w:rFonts w:ascii="Arial" w:hAnsi="Arial" w:cs="Arial"/>
          <w:color w:val="000000"/>
        </w:rPr>
        <w:t xml:space="preserve">GO:0051960) harbors numerous significantly enriched GRMs annotated to distinct MOS phenotypes, including: neonatal lethality, complete penetrance and neonatal lethality, incomplete penetrance; lethality at weaning, complete penetrance; perinatal lethality, complete penetrance; postnatal lethality, complete penetrance and postnatal lethality, incomplete penetrance; embryonic lethality during organogenesis and embryonic lethality during organogenesis, complete penetrance; lethality throughout fetal growth and development and lethality throughout fetal growth and development, incomplete penetrance; lethality at weaning; </w:t>
      </w:r>
      <w:r w:rsidRPr="00B1036F">
        <w:rPr>
          <w:rFonts w:ascii="Arial" w:hAnsi="Arial" w:cs="Arial"/>
        </w:rPr>
        <w:t>perinatal, neonatal, and postnatal lethality phenotypes (</w:t>
      </w:r>
      <w:r w:rsidRPr="00B1036F">
        <w:rPr>
          <w:rFonts w:ascii="Arial" w:hAnsi="Arial" w:cs="Arial"/>
          <w:b/>
        </w:rPr>
        <w:t>Table 6; Supplementary Data Set S1: GRN2</w:t>
      </w:r>
      <w:r w:rsidRPr="00B1036F">
        <w:rPr>
          <w:rFonts w:ascii="Arial" w:hAnsi="Arial" w:cs="Arial"/>
        </w:rPr>
        <w:t>). Other</w:t>
      </w:r>
      <w:r>
        <w:rPr>
          <w:rFonts w:ascii="Arial" w:hAnsi="Arial" w:cs="Arial"/>
        </w:rPr>
        <w:t xml:space="preserve"> notable </w:t>
      </w:r>
      <w:r w:rsidRPr="00B1036F">
        <w:rPr>
          <w:rFonts w:ascii="Arial" w:hAnsi="Arial" w:cs="Arial"/>
        </w:rPr>
        <w:t xml:space="preserve">GRMs </w:t>
      </w:r>
      <w:r>
        <w:rPr>
          <w:rFonts w:ascii="Arial" w:hAnsi="Arial" w:cs="Arial"/>
        </w:rPr>
        <w:t>of regulatory LTR-linked GRNs that were annotated to significantly enriched MOS phenotypes include</w:t>
      </w:r>
      <w:r w:rsidRPr="00B1036F">
        <w:rPr>
          <w:rFonts w:ascii="Arial" w:hAnsi="Arial" w:cs="Arial"/>
        </w:rPr>
        <w:t xml:space="preserve">: embryonic lethality between implantation and placentation, complete penetrance; embryonic lethality between implantation and somite formation, incomplete penetrance; embryonic lethality between somite formation and embryo turning, incomplete penetrance; prenatal lethality prior to heart atrial </w:t>
      </w:r>
      <w:proofErr w:type="spellStart"/>
      <w:r w:rsidRPr="00B1036F">
        <w:rPr>
          <w:rFonts w:ascii="Arial" w:hAnsi="Arial" w:cs="Arial"/>
        </w:rPr>
        <w:t>septation</w:t>
      </w:r>
      <w:proofErr w:type="spellEnd"/>
      <w:r w:rsidRPr="00B1036F">
        <w:rPr>
          <w:rFonts w:ascii="Arial" w:hAnsi="Arial" w:cs="Arial"/>
        </w:rPr>
        <w:t>; embryonic lethality, complete penetrance (</w:t>
      </w:r>
      <w:r w:rsidRPr="00B1036F">
        <w:rPr>
          <w:rFonts w:ascii="Arial" w:hAnsi="Arial" w:cs="Arial"/>
          <w:b/>
        </w:rPr>
        <w:t>Table 6; Supplementary Data Set S1: GRN1-GRN26</w:t>
      </w:r>
      <w:r w:rsidRPr="00B1036F">
        <w:rPr>
          <w:rFonts w:ascii="Arial" w:hAnsi="Arial" w:cs="Arial"/>
        </w:rPr>
        <w:t>).</w:t>
      </w:r>
    </w:p>
    <w:p w:rsidR="0017119F" w:rsidRPr="00B1036F" w:rsidRDefault="0017119F" w:rsidP="0017119F">
      <w:pPr>
        <w:autoSpaceDE w:val="0"/>
        <w:autoSpaceDN w:val="0"/>
        <w:adjustRightInd w:val="0"/>
        <w:spacing w:after="0" w:line="360" w:lineRule="auto"/>
        <w:ind w:firstLine="720"/>
        <w:rPr>
          <w:rFonts w:ascii="Arial" w:hAnsi="Arial" w:cs="Arial"/>
        </w:rPr>
      </w:pPr>
      <w:r w:rsidRPr="00B1036F">
        <w:rPr>
          <w:rFonts w:ascii="Arial" w:hAnsi="Arial" w:cs="Arial"/>
        </w:rPr>
        <w:t xml:space="preserve">Collectively, these observations support the conclusion that GRNs </w:t>
      </w:r>
      <w:r>
        <w:rPr>
          <w:rFonts w:ascii="Arial" w:hAnsi="Arial" w:cs="Arial"/>
        </w:rPr>
        <w:t>comprising the</w:t>
      </w:r>
      <w:r w:rsidRPr="00B1036F">
        <w:rPr>
          <w:rFonts w:ascii="Arial" w:hAnsi="Arial" w:cs="Arial"/>
        </w:rPr>
        <w:t xml:space="preserve"> GRD of human embryo </w:t>
      </w:r>
      <w:r>
        <w:rPr>
          <w:rFonts w:ascii="Arial" w:hAnsi="Arial" w:cs="Arial"/>
        </w:rPr>
        <w:t>regulatory LTR</w:t>
      </w:r>
      <w:r w:rsidRPr="00B1036F">
        <w:rPr>
          <w:rFonts w:ascii="Arial" w:hAnsi="Arial" w:cs="Arial"/>
        </w:rPr>
        <w:t xml:space="preserve"> elements could be viewed as an intrinsically integrated compendium of thousands genotype-phenotypic trait associations-defined GRMs, many of which may represent the evolutionary selection units defined by inherent genotype-phenotype associations affecting species’ fitness and survival. </w:t>
      </w:r>
    </w:p>
    <w:p w:rsidR="0017119F" w:rsidRDefault="0017119F" w:rsidP="0017119F">
      <w:pPr>
        <w:autoSpaceDE w:val="0"/>
        <w:autoSpaceDN w:val="0"/>
        <w:adjustRightInd w:val="0"/>
        <w:spacing w:after="0" w:line="240" w:lineRule="auto"/>
        <w:rPr>
          <w:rFonts w:ascii="Arial" w:hAnsi="Arial" w:cs="Arial"/>
        </w:rPr>
      </w:pPr>
    </w:p>
    <w:p w:rsidR="0017119F" w:rsidRDefault="0017119F" w:rsidP="00A71EB1">
      <w:pPr>
        <w:autoSpaceDE w:val="0"/>
        <w:autoSpaceDN w:val="0"/>
        <w:adjustRightInd w:val="0"/>
        <w:spacing w:after="0" w:line="240" w:lineRule="auto"/>
        <w:ind w:firstLine="720"/>
        <w:rPr>
          <w:rFonts w:ascii="Arial" w:hAnsi="Arial" w:cs="Arial"/>
        </w:rPr>
      </w:pPr>
    </w:p>
    <w:p w:rsidR="0017119F" w:rsidRDefault="0017119F" w:rsidP="00A71EB1">
      <w:pPr>
        <w:autoSpaceDE w:val="0"/>
        <w:autoSpaceDN w:val="0"/>
        <w:adjustRightInd w:val="0"/>
        <w:spacing w:after="0" w:line="240" w:lineRule="auto"/>
        <w:ind w:firstLine="720"/>
        <w:rPr>
          <w:rFonts w:ascii="Arial" w:hAnsi="Arial" w:cs="Arial"/>
        </w:rPr>
      </w:pPr>
    </w:p>
    <w:p w:rsidR="0017119F" w:rsidRDefault="0017119F" w:rsidP="00A71EB1">
      <w:pPr>
        <w:autoSpaceDE w:val="0"/>
        <w:autoSpaceDN w:val="0"/>
        <w:adjustRightInd w:val="0"/>
        <w:spacing w:after="0" w:line="240" w:lineRule="auto"/>
        <w:ind w:firstLine="720"/>
        <w:rPr>
          <w:rFonts w:ascii="Arial" w:hAnsi="Arial" w:cs="Arial"/>
        </w:rPr>
      </w:pPr>
    </w:p>
    <w:p w:rsidR="007E2516" w:rsidRDefault="007E2516" w:rsidP="00A71EB1">
      <w:pPr>
        <w:autoSpaceDE w:val="0"/>
        <w:autoSpaceDN w:val="0"/>
        <w:adjustRightInd w:val="0"/>
        <w:spacing w:after="0" w:line="240" w:lineRule="auto"/>
        <w:rPr>
          <w:rFonts w:ascii="Arial" w:hAnsi="Arial" w:cs="Arial"/>
        </w:rPr>
      </w:pPr>
    </w:p>
    <w:p w:rsidR="008B50C1" w:rsidRDefault="008B50C1" w:rsidP="007D74AD">
      <w:pPr>
        <w:rPr>
          <w:rFonts w:ascii="Arial" w:hAnsi="Arial"/>
        </w:rPr>
      </w:pPr>
    </w:p>
    <w:p w:rsidR="00473DA4" w:rsidRDefault="00473DA4" w:rsidP="007D74AD">
      <w:pPr>
        <w:rPr>
          <w:rFonts w:ascii="Arial" w:hAnsi="Arial"/>
        </w:rPr>
      </w:pPr>
    </w:p>
    <w:p w:rsidR="00DA2015" w:rsidRDefault="00DA2015" w:rsidP="008B50C1">
      <w:pPr>
        <w:rPr>
          <w:rFonts w:ascii="Arial" w:hAnsi="Arial" w:cs="Arial"/>
          <w:b/>
        </w:rPr>
      </w:pPr>
      <w:r w:rsidRPr="006A1611">
        <w:rPr>
          <w:rFonts w:ascii="Arial" w:hAnsi="Arial" w:cs="Arial"/>
          <w:b/>
        </w:rPr>
        <w:object w:dxaOrig="11377" w:dyaOrig="234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pt;height:540pt" o:ole="">
            <v:imagedata r:id="rId8" o:title=""/>
          </v:shape>
          <o:OLEObject Type="Embed" ProgID="Acrobat.Document.DC" ShapeID="_x0000_i1025" DrawAspect="Content" ObjectID="_1792085063" r:id="rId9"/>
        </w:object>
      </w:r>
    </w:p>
    <w:p w:rsidR="00DA2015" w:rsidRDefault="00DA2015" w:rsidP="00DA2015">
      <w:pPr>
        <w:rPr>
          <w:rFonts w:ascii="Arial" w:hAnsi="Arial"/>
        </w:rPr>
      </w:pPr>
      <w:r w:rsidRPr="007B033E">
        <w:rPr>
          <w:rFonts w:ascii="Arial" w:hAnsi="Arial"/>
          <w:b/>
        </w:rPr>
        <w:t>Figure 2.</w:t>
      </w:r>
      <w:r>
        <w:rPr>
          <w:rFonts w:ascii="Arial" w:hAnsi="Arial"/>
        </w:rPr>
        <w:t xml:space="preserve"> Graphical summaries of genomic features (A; B) and Directed Acyclic Graph (DAG) analyses (C – H) of the Genomic Regulatory Network 18 (GRN18: Regulation of Membrane Potential) consisting of 592 human embryo regulatory LTRs and 340 down-stream target genes. Panel (A; top) reports numerical values of main genomic features assigned to the GRN18: Regulation of Membrane Potential and panel (A; bottom) presents a graphical summary of distribution of numbers of human embryo regulatory LTRs among the significantly enriched terms documented by GO annotations of GO Biological Process database (top-scoring 500 of 1315 significantly-enriched terms are shown, which were identified by the GREAT algorithm at the Binominal FDR Q value &lt; 0.001). Panel (B) shows the correlation plot illustrating direct correlation between genome fractions and LTR set coverage values observed for 1315 significantly enriched records (Binominal FDR Q value &lt; </w:t>
      </w:r>
      <w:r>
        <w:rPr>
          <w:rFonts w:ascii="Arial" w:hAnsi="Arial"/>
        </w:rPr>
        <w:lastRenderedPageBreak/>
        <w:t xml:space="preserve">0.001) of GO annotations of GO Biological Process database. Corresponding numerical values were obtained from the GREAT algorithm-generated tables using as an input 592 human embryo regulatory LTR loci assigned to the GRN18. Panels (C – H) reports graphical summaries of DAG analyses of the GRN18: Regulation of Membrane Potential. Hierarchical networks were generated by the GREAT algorithm using as an input 592 human embryo regulatory LTR loci assigned to the GRN18 by the GO annotation analyses. Hierarchical networks of local DAG are shown for significantly enriched terms in GO Biological Process annotations (C; 620 significantly-enriched terms); GO Cellular Component annotations (D; 103 significantly-enriched terms); Human phenotype annotations (E; 82 significantly-enriched terms); GO Molecular Function annotations (F; 90 significantly-enriched terms); Mouse Phenotype annotations (G; 268 significantly-enriched terms); Mouse Phenotype Single KO annotations (H; 217 significantly-enriched terms). Complete tabular data and graphical summary reports pertinent to statistical, genomic, molecular, and phenotypic attributes of 26 GRNs and </w:t>
      </w:r>
      <w:r>
        <w:rPr>
          <w:rFonts w:ascii="Arial" w:hAnsi="Arial" w:cs="Arial"/>
        </w:rPr>
        <w:t xml:space="preserve">69,573 regulatory LTR-linked Genomic Regulatory Modules (GRMs) </w:t>
      </w:r>
      <w:r>
        <w:rPr>
          <w:rFonts w:ascii="Arial" w:hAnsi="Arial"/>
        </w:rPr>
        <w:t xml:space="preserve">associated with human embryo regulatory LTR elements are presented in the text; Tables 2 – 5; and Supplementary Materials (Supplementary Data Set S1: GRN1 – GRN26). </w:t>
      </w:r>
    </w:p>
    <w:p w:rsidR="003E2008" w:rsidRDefault="003E2008" w:rsidP="00DA2015">
      <w:pPr>
        <w:rPr>
          <w:rFonts w:ascii="Arial" w:hAnsi="Arial"/>
        </w:rPr>
      </w:pPr>
    </w:p>
    <w:p w:rsidR="003E2008" w:rsidRDefault="003E2008" w:rsidP="00DA2015">
      <w:pPr>
        <w:rPr>
          <w:rFonts w:ascii="Arial" w:hAnsi="Arial"/>
        </w:rPr>
      </w:pPr>
      <w:r w:rsidRPr="006A1611">
        <w:rPr>
          <w:rFonts w:ascii="Arial" w:hAnsi="Arial" w:cs="Arial"/>
          <w:b/>
        </w:rPr>
        <w:object w:dxaOrig="11377" w:dyaOrig="28777">
          <v:shape id="_x0000_i1026" type="#_x0000_t75" style="width:408pt;height:534pt" o:ole="">
            <v:imagedata r:id="rId10" o:title=""/>
          </v:shape>
          <o:OLEObject Type="Embed" ProgID="Acrobat.Document.DC" ShapeID="_x0000_i1026" DrawAspect="Content" ObjectID="_1792085064" r:id="rId11"/>
        </w:object>
      </w:r>
    </w:p>
    <w:p w:rsidR="00DA2015" w:rsidRDefault="00DA2015" w:rsidP="00DA2015">
      <w:pPr>
        <w:rPr>
          <w:rFonts w:ascii="Arial" w:hAnsi="Arial"/>
        </w:rPr>
      </w:pPr>
      <w:r w:rsidRPr="007B033E">
        <w:rPr>
          <w:rFonts w:ascii="Arial" w:hAnsi="Arial"/>
          <w:b/>
        </w:rPr>
        <w:t>Figure 3.</w:t>
      </w:r>
      <w:r>
        <w:rPr>
          <w:rFonts w:ascii="Arial" w:hAnsi="Arial"/>
        </w:rPr>
        <w:t xml:space="preserve"> Graphical summaries of Directed Acyclic Graph (DAG) analyses of the Genomic Regulatory Network 5 (GRN5: </w:t>
      </w:r>
      <w:proofErr w:type="spellStart"/>
      <w:r>
        <w:rPr>
          <w:rFonts w:ascii="Arial" w:hAnsi="Arial"/>
        </w:rPr>
        <w:t>Somatodendritic</w:t>
      </w:r>
      <w:proofErr w:type="spellEnd"/>
      <w:r>
        <w:rPr>
          <w:rFonts w:ascii="Arial" w:hAnsi="Arial"/>
        </w:rPr>
        <w:t xml:space="preserve"> Compartment) consisting of 995 human embryo regulatory LTRs and 582 down-stream target </w:t>
      </w:r>
      <w:proofErr w:type="spellStart"/>
      <w:r>
        <w:rPr>
          <w:rFonts w:ascii="Arial" w:hAnsi="Arial"/>
        </w:rPr>
        <w:t>genes.Panels</w:t>
      </w:r>
      <w:proofErr w:type="spellEnd"/>
      <w:r>
        <w:rPr>
          <w:rFonts w:ascii="Arial" w:hAnsi="Arial"/>
        </w:rPr>
        <w:t xml:space="preserve"> (A – H) reports graphical summaries of DAG analyses of the GRN5: </w:t>
      </w:r>
      <w:proofErr w:type="spellStart"/>
      <w:r>
        <w:rPr>
          <w:rFonts w:ascii="Arial" w:hAnsi="Arial"/>
        </w:rPr>
        <w:t>Somatodendritic</w:t>
      </w:r>
      <w:proofErr w:type="spellEnd"/>
      <w:r>
        <w:rPr>
          <w:rFonts w:ascii="Arial" w:hAnsi="Arial"/>
        </w:rPr>
        <w:t xml:space="preserve"> Compartment. Hierarchical networks were generated by the GREAT algorithm using as an input 995 human embryo regulatory LTR loci assigned by the GO annotation analyses to the GRN5. Hierarchical networks of local DAG are shown for significantly enriched terms in GO Biological Process annotations [A; B; 599 significantly-enriched terms shown in (A) as an array of bars sorted in descending order of the log10(Binominal p values) and reported in (B) as local DAG of a developmental hierarchical network]; Human phenotype annotations [C; D; 62 significantly-enriched terms shown in (C) as an array of bars sorted in descending order of the log10(Binominal p values) and reported in (D) as local DAG of a developmental </w:t>
      </w:r>
      <w:r>
        <w:rPr>
          <w:rFonts w:ascii="Arial" w:hAnsi="Arial"/>
        </w:rPr>
        <w:lastRenderedPageBreak/>
        <w:t xml:space="preserve">hierarchical network]; GO Cellular Component annotations (E; 96 significantly-enriched terms reported as local DAG of a developmental hierarchical network); GO Molecular Function annotations (F; 64 significantly-enriched terms reported as local DAG of a developmental hierarchical network); Mouse Phenotype annotations (G; 361 significantly-enriched terms reported as local DAG of a developmental hierarchical network); Mouse Phenotype Single KO annotations (H; 245 significantly-enriched terms reported as local DAG of a developmental hierarchical network). Complete tabular data and graphical summary reports pertinent to statistical, genomic, molecular, and phenotypic attributes of 26 GRNs and </w:t>
      </w:r>
      <w:r>
        <w:rPr>
          <w:rFonts w:ascii="Arial" w:hAnsi="Arial" w:cs="Arial"/>
        </w:rPr>
        <w:t xml:space="preserve">69,573 regulatory LTR-linked Genomic Regulatory Modules (GRMs) </w:t>
      </w:r>
      <w:r>
        <w:rPr>
          <w:rFonts w:ascii="Arial" w:hAnsi="Arial"/>
        </w:rPr>
        <w:t xml:space="preserve">associated with human embryo regulatory LTR elements are presented in the text; Tables 2 – 5; and Supplementary Materials (Supplementary Data Set S1: GRN1 – GRN26). </w:t>
      </w:r>
    </w:p>
    <w:p w:rsidR="00DA2015" w:rsidRDefault="00DA2015" w:rsidP="008B50C1">
      <w:pPr>
        <w:rPr>
          <w:rFonts w:ascii="Arial" w:hAnsi="Arial" w:cs="Arial"/>
          <w:b/>
        </w:rPr>
        <w:sectPr w:rsidR="00DA2015" w:rsidSect="005A72FC">
          <w:headerReference w:type="even" r:id="rId12"/>
          <w:headerReference w:type="default" r:id="rId13"/>
          <w:footerReference w:type="even" r:id="rId14"/>
          <w:footerReference w:type="default" r:id="rId15"/>
          <w:headerReference w:type="first" r:id="rId16"/>
          <w:footerReference w:type="first" r:id="rId17"/>
          <w:pgSz w:w="12240" w:h="15840"/>
          <w:pgMar w:top="720" w:right="720" w:bottom="720" w:left="720" w:header="720" w:footer="720" w:gutter="0"/>
          <w:cols w:space="720"/>
          <w:docGrid w:linePitch="360"/>
        </w:sectPr>
      </w:pPr>
    </w:p>
    <w:p w:rsidR="0034518F" w:rsidRPr="00DF487C" w:rsidRDefault="0034518F" w:rsidP="0034518F">
      <w:pPr>
        <w:rPr>
          <w:rFonts w:ascii="Arial" w:hAnsi="Arial" w:cs="Arial"/>
          <w:sz w:val="20"/>
        </w:rPr>
      </w:pPr>
      <w:r w:rsidRPr="00DF487C">
        <w:rPr>
          <w:rFonts w:ascii="Arial" w:hAnsi="Arial" w:cs="Arial"/>
          <w:b/>
          <w:sz w:val="20"/>
        </w:rPr>
        <w:lastRenderedPageBreak/>
        <w:t>Table 2.</w:t>
      </w:r>
      <w:r w:rsidRPr="00DF487C">
        <w:rPr>
          <w:rFonts w:ascii="Arial" w:hAnsi="Arial" w:cs="Arial"/>
          <w:sz w:val="20"/>
        </w:rPr>
        <w:t xml:space="preserve">Top-ranked biological processes preferentially affected by 8,839 human embryo </w:t>
      </w:r>
      <w:r>
        <w:rPr>
          <w:rFonts w:ascii="Arial" w:hAnsi="Arial" w:cs="Arial"/>
          <w:sz w:val="20"/>
        </w:rPr>
        <w:t>regulatory LTR</w:t>
      </w:r>
      <w:r w:rsidRPr="00DF487C">
        <w:rPr>
          <w:rFonts w:ascii="Arial" w:hAnsi="Arial" w:cs="Arial"/>
          <w:sz w:val="20"/>
        </w:rPr>
        <w:t>s identified by proximity placement-guided Genomic Regulatory Network (GRN) analysis* of Gene Ontology (GO) Biological Process database.</w:t>
      </w:r>
    </w:p>
    <w:tbl>
      <w:tblPr>
        <w:tblStyle w:val="PlainTable2"/>
        <w:tblW w:w="0" w:type="auto"/>
        <w:tblLook w:val="04A0" w:firstRow="1" w:lastRow="0" w:firstColumn="1" w:lastColumn="0" w:noHBand="0" w:noVBand="1"/>
      </w:tblPr>
      <w:tblGrid>
        <w:gridCol w:w="1488"/>
        <w:gridCol w:w="1931"/>
        <w:gridCol w:w="1280"/>
        <w:gridCol w:w="1369"/>
        <w:gridCol w:w="1383"/>
        <w:gridCol w:w="1369"/>
        <w:gridCol w:w="1427"/>
        <w:gridCol w:w="1363"/>
        <w:gridCol w:w="1530"/>
        <w:gridCol w:w="1260"/>
      </w:tblGrid>
      <w:tr w:rsidR="0034518F" w:rsidRPr="00DF487C" w:rsidTr="00913D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jc w:val="center"/>
              <w:rPr>
                <w:rFonts w:ascii="Arial" w:hAnsi="Arial" w:cs="Arial"/>
                <w:color w:val="000000"/>
                <w:sz w:val="20"/>
                <w:szCs w:val="20"/>
              </w:rPr>
            </w:pPr>
            <w:r w:rsidRPr="00DF487C">
              <w:rPr>
                <w:rFonts w:ascii="Arial" w:hAnsi="Arial" w:cs="Arial"/>
                <w:color w:val="000000"/>
                <w:sz w:val="20"/>
                <w:szCs w:val="20"/>
              </w:rPr>
              <w:t>GO ID</w:t>
            </w:r>
          </w:p>
        </w:tc>
        <w:tc>
          <w:tcPr>
            <w:tcW w:w="1931" w:type="dxa"/>
          </w:tcPr>
          <w:p w:rsidR="0034518F" w:rsidRPr="00DF487C" w:rsidRDefault="0034518F" w:rsidP="00913D4E">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Description</w:t>
            </w:r>
          </w:p>
        </w:tc>
        <w:tc>
          <w:tcPr>
            <w:tcW w:w="1280" w:type="dxa"/>
          </w:tcPr>
          <w:p w:rsidR="0034518F" w:rsidRPr="00DF487C" w:rsidRDefault="0034518F" w:rsidP="00913D4E">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Binominal Rank</w:t>
            </w:r>
          </w:p>
        </w:tc>
        <w:tc>
          <w:tcPr>
            <w:tcW w:w="1369" w:type="dxa"/>
          </w:tcPr>
          <w:p w:rsidR="0034518F" w:rsidRPr="00DF487C" w:rsidRDefault="0034518F" w:rsidP="00913D4E">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Binominal P value</w:t>
            </w:r>
          </w:p>
        </w:tc>
        <w:tc>
          <w:tcPr>
            <w:tcW w:w="1383" w:type="dxa"/>
          </w:tcPr>
          <w:p w:rsidR="0034518F" w:rsidRPr="00DF487C" w:rsidRDefault="0034518F" w:rsidP="00913D4E">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Binominal Bonferroni P value</w:t>
            </w:r>
          </w:p>
        </w:tc>
        <w:tc>
          <w:tcPr>
            <w:tcW w:w="1369" w:type="dxa"/>
          </w:tcPr>
          <w:p w:rsidR="0034518F" w:rsidRPr="00DF487C" w:rsidRDefault="0034518F" w:rsidP="00913D4E">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Binominal FDR Q value</w:t>
            </w:r>
          </w:p>
        </w:tc>
        <w:tc>
          <w:tcPr>
            <w:tcW w:w="1427" w:type="dxa"/>
          </w:tcPr>
          <w:p w:rsidR="0034518F" w:rsidRPr="00DF487C" w:rsidRDefault="0034518F" w:rsidP="00913D4E">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LTR Fold Enrichment</w:t>
            </w:r>
          </w:p>
        </w:tc>
        <w:tc>
          <w:tcPr>
            <w:tcW w:w="1363" w:type="dxa"/>
          </w:tcPr>
          <w:p w:rsidR="0034518F" w:rsidRPr="00DF487C" w:rsidRDefault="0034518F" w:rsidP="00913D4E">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Observed LTRs</w:t>
            </w:r>
          </w:p>
        </w:tc>
        <w:tc>
          <w:tcPr>
            <w:tcW w:w="1530" w:type="dxa"/>
          </w:tcPr>
          <w:p w:rsidR="0034518F" w:rsidRPr="00DF487C" w:rsidRDefault="0034518F" w:rsidP="00913D4E">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Gene Fold Enrichment</w:t>
            </w:r>
          </w:p>
        </w:tc>
        <w:tc>
          <w:tcPr>
            <w:tcW w:w="1260" w:type="dxa"/>
          </w:tcPr>
          <w:p w:rsidR="0034518F" w:rsidRPr="00DF487C" w:rsidRDefault="0034518F" w:rsidP="00913D4E">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Observed Genes</w:t>
            </w:r>
          </w:p>
        </w:tc>
      </w:tr>
      <w:tr w:rsidR="0034518F" w:rsidRPr="00DF487C" w:rsidTr="00913D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rPr>
                <w:rFonts w:ascii="Arial" w:hAnsi="Arial" w:cs="Arial"/>
                <w:color w:val="000000"/>
                <w:sz w:val="20"/>
                <w:szCs w:val="20"/>
              </w:rPr>
            </w:pPr>
            <w:r w:rsidRPr="00DF487C">
              <w:rPr>
                <w:rFonts w:ascii="Arial" w:hAnsi="Arial" w:cs="Arial"/>
                <w:color w:val="000000"/>
                <w:sz w:val="20"/>
                <w:szCs w:val="20"/>
              </w:rPr>
              <w:t>GO:0098742</w:t>
            </w:r>
          </w:p>
        </w:tc>
        <w:tc>
          <w:tcPr>
            <w:tcW w:w="1931" w:type="dxa"/>
          </w:tcPr>
          <w:p w:rsidR="0034518F" w:rsidRPr="00DF487C" w:rsidRDefault="0034518F" w:rsidP="00913D4E">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cell-cell adhesion via plasma-membrane adhesion molecules</w:t>
            </w:r>
          </w:p>
        </w:tc>
        <w:tc>
          <w:tcPr>
            <w:tcW w:w="128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2.05E-19</w:t>
            </w:r>
          </w:p>
        </w:tc>
        <w:tc>
          <w:tcPr>
            <w:tcW w:w="1383"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2.65E-15</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2.65E-15</w:t>
            </w:r>
          </w:p>
        </w:tc>
        <w:tc>
          <w:tcPr>
            <w:tcW w:w="1427"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1.42</w:t>
            </w:r>
          </w:p>
        </w:tc>
        <w:tc>
          <w:tcPr>
            <w:tcW w:w="1363"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677</w:t>
            </w:r>
          </w:p>
        </w:tc>
        <w:tc>
          <w:tcPr>
            <w:tcW w:w="153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1.46</w:t>
            </w:r>
          </w:p>
        </w:tc>
        <w:tc>
          <w:tcPr>
            <w:tcW w:w="126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95</w:t>
            </w:r>
          </w:p>
        </w:tc>
      </w:tr>
      <w:tr w:rsidR="0034518F" w:rsidRPr="00DF487C" w:rsidTr="00913D4E">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rPr>
                <w:rFonts w:ascii="Arial" w:hAnsi="Arial" w:cs="Arial"/>
                <w:color w:val="000000"/>
                <w:sz w:val="20"/>
                <w:szCs w:val="20"/>
              </w:rPr>
            </w:pPr>
            <w:r w:rsidRPr="00DF487C">
              <w:rPr>
                <w:rFonts w:ascii="Arial" w:hAnsi="Arial" w:cs="Arial"/>
                <w:color w:val="000000"/>
                <w:sz w:val="20"/>
                <w:szCs w:val="20"/>
              </w:rPr>
              <w:t>GO:0007156</w:t>
            </w:r>
          </w:p>
        </w:tc>
        <w:tc>
          <w:tcPr>
            <w:tcW w:w="1931" w:type="dxa"/>
          </w:tcPr>
          <w:p w:rsidR="0034518F" w:rsidRPr="00DF487C" w:rsidRDefault="0034518F" w:rsidP="00913D4E">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proofErr w:type="spellStart"/>
            <w:r w:rsidRPr="00DF487C">
              <w:rPr>
                <w:rFonts w:ascii="Arial" w:hAnsi="Arial" w:cs="Arial"/>
                <w:color w:val="000000"/>
                <w:sz w:val="20"/>
                <w:szCs w:val="20"/>
              </w:rPr>
              <w:t>homophilic</w:t>
            </w:r>
            <w:proofErr w:type="spellEnd"/>
            <w:r w:rsidRPr="00DF487C">
              <w:rPr>
                <w:rFonts w:ascii="Arial" w:hAnsi="Arial" w:cs="Arial"/>
                <w:color w:val="000000"/>
                <w:sz w:val="20"/>
                <w:szCs w:val="20"/>
              </w:rPr>
              <w:t xml:space="preserve"> cell adhesion via plasma membrane adhesion molecules</w:t>
            </w:r>
          </w:p>
        </w:tc>
        <w:tc>
          <w:tcPr>
            <w:tcW w:w="128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w:t>
            </w:r>
          </w:p>
        </w:tc>
        <w:tc>
          <w:tcPr>
            <w:tcW w:w="1369"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1.79E-16</w:t>
            </w:r>
          </w:p>
        </w:tc>
        <w:tc>
          <w:tcPr>
            <w:tcW w:w="1383"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2.31E-12</w:t>
            </w:r>
          </w:p>
        </w:tc>
        <w:tc>
          <w:tcPr>
            <w:tcW w:w="1369"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1.15E-12</w:t>
            </w:r>
          </w:p>
        </w:tc>
        <w:tc>
          <w:tcPr>
            <w:tcW w:w="1427"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1.47</w:t>
            </w:r>
          </w:p>
        </w:tc>
        <w:tc>
          <w:tcPr>
            <w:tcW w:w="1363"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481</w:t>
            </w:r>
          </w:p>
        </w:tc>
        <w:tc>
          <w:tcPr>
            <w:tcW w:w="153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1.38</w:t>
            </w:r>
          </w:p>
        </w:tc>
        <w:tc>
          <w:tcPr>
            <w:tcW w:w="126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62</w:t>
            </w:r>
          </w:p>
        </w:tc>
      </w:tr>
      <w:tr w:rsidR="0034518F" w:rsidRPr="00DF487C" w:rsidTr="00913D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rPr>
                <w:rFonts w:ascii="Arial" w:hAnsi="Arial" w:cs="Arial"/>
                <w:color w:val="000000"/>
                <w:sz w:val="20"/>
                <w:szCs w:val="20"/>
              </w:rPr>
            </w:pPr>
            <w:r w:rsidRPr="00DF487C">
              <w:rPr>
                <w:rFonts w:ascii="Arial" w:hAnsi="Arial" w:cs="Arial"/>
                <w:color w:val="000000"/>
                <w:sz w:val="20"/>
                <w:szCs w:val="20"/>
              </w:rPr>
              <w:t>GO:0051965</w:t>
            </w:r>
          </w:p>
        </w:tc>
        <w:tc>
          <w:tcPr>
            <w:tcW w:w="1931" w:type="dxa"/>
          </w:tcPr>
          <w:p w:rsidR="0034518F" w:rsidRPr="00DF487C" w:rsidRDefault="0034518F" w:rsidP="00913D4E">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u w:val="single"/>
              </w:rPr>
            </w:pPr>
            <w:r w:rsidRPr="00DF487C">
              <w:rPr>
                <w:rFonts w:ascii="Arial" w:hAnsi="Arial" w:cs="Arial"/>
                <w:color w:val="000000"/>
                <w:sz w:val="20"/>
                <w:szCs w:val="20"/>
                <w:u w:val="single"/>
              </w:rPr>
              <w:t>positive regulation of synapse assembly</w:t>
            </w:r>
          </w:p>
        </w:tc>
        <w:tc>
          <w:tcPr>
            <w:tcW w:w="128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1.12E-12</w:t>
            </w:r>
          </w:p>
        </w:tc>
        <w:tc>
          <w:tcPr>
            <w:tcW w:w="1383"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1.45E-08</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4.83E-09</w:t>
            </w:r>
          </w:p>
        </w:tc>
        <w:tc>
          <w:tcPr>
            <w:tcW w:w="1427"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1.48</w:t>
            </w:r>
          </w:p>
        </w:tc>
        <w:tc>
          <w:tcPr>
            <w:tcW w:w="1363"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20"/>
                <w:szCs w:val="20"/>
              </w:rPr>
            </w:pPr>
            <w:r w:rsidRPr="00DF487C">
              <w:rPr>
                <w:rFonts w:ascii="Arial" w:hAnsi="Arial" w:cs="Arial"/>
                <w:bCs/>
                <w:color w:val="000000"/>
                <w:sz w:val="20"/>
                <w:szCs w:val="20"/>
              </w:rPr>
              <w:t>355</w:t>
            </w:r>
          </w:p>
        </w:tc>
        <w:tc>
          <w:tcPr>
            <w:tcW w:w="153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2.12</w:t>
            </w:r>
          </w:p>
        </w:tc>
        <w:tc>
          <w:tcPr>
            <w:tcW w:w="126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20"/>
                <w:szCs w:val="20"/>
              </w:rPr>
            </w:pPr>
            <w:r w:rsidRPr="00DF487C">
              <w:rPr>
                <w:rFonts w:ascii="Arial" w:hAnsi="Arial" w:cs="Arial"/>
                <w:bCs/>
                <w:color w:val="000000"/>
                <w:sz w:val="20"/>
                <w:szCs w:val="20"/>
              </w:rPr>
              <w:t>40</w:t>
            </w:r>
          </w:p>
        </w:tc>
      </w:tr>
      <w:tr w:rsidR="0034518F" w:rsidRPr="00DF487C" w:rsidTr="00913D4E">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rPr>
                <w:rFonts w:ascii="Arial" w:hAnsi="Arial" w:cs="Arial"/>
                <w:b w:val="0"/>
                <w:bCs w:val="0"/>
                <w:color w:val="000000"/>
                <w:sz w:val="20"/>
                <w:szCs w:val="20"/>
              </w:rPr>
            </w:pPr>
            <w:r w:rsidRPr="00DF487C">
              <w:rPr>
                <w:rFonts w:ascii="Arial" w:hAnsi="Arial" w:cs="Arial"/>
                <w:color w:val="000000"/>
                <w:sz w:val="20"/>
                <w:szCs w:val="20"/>
              </w:rPr>
              <w:t>GO:0006408</w:t>
            </w:r>
          </w:p>
        </w:tc>
        <w:tc>
          <w:tcPr>
            <w:tcW w:w="1931" w:type="dxa"/>
          </w:tcPr>
          <w:p w:rsidR="0034518F" w:rsidRPr="00DF487C" w:rsidRDefault="0034518F" w:rsidP="00913D4E">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snRNA export from nucleus</w:t>
            </w:r>
          </w:p>
        </w:tc>
        <w:tc>
          <w:tcPr>
            <w:tcW w:w="128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w:t>
            </w:r>
          </w:p>
        </w:tc>
        <w:tc>
          <w:tcPr>
            <w:tcW w:w="1369"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1.03E-10</w:t>
            </w:r>
          </w:p>
        </w:tc>
        <w:tc>
          <w:tcPr>
            <w:tcW w:w="1383"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1.33E-06</w:t>
            </w:r>
          </w:p>
        </w:tc>
        <w:tc>
          <w:tcPr>
            <w:tcW w:w="1369"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3.33E-07</w:t>
            </w:r>
          </w:p>
        </w:tc>
        <w:tc>
          <w:tcPr>
            <w:tcW w:w="1427"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14.46</w:t>
            </w:r>
          </w:p>
        </w:tc>
        <w:tc>
          <w:tcPr>
            <w:tcW w:w="1363"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12</w:t>
            </w:r>
          </w:p>
        </w:tc>
        <w:tc>
          <w:tcPr>
            <w:tcW w:w="153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1.72</w:t>
            </w:r>
          </w:p>
        </w:tc>
        <w:tc>
          <w:tcPr>
            <w:tcW w:w="126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w:t>
            </w:r>
          </w:p>
        </w:tc>
      </w:tr>
      <w:tr w:rsidR="0034518F" w:rsidRPr="00DF487C" w:rsidTr="00913D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rPr>
                <w:rFonts w:ascii="Arial" w:hAnsi="Arial" w:cs="Arial"/>
                <w:color w:val="000000"/>
                <w:sz w:val="20"/>
                <w:szCs w:val="20"/>
              </w:rPr>
            </w:pPr>
            <w:r w:rsidRPr="00DF487C">
              <w:rPr>
                <w:rFonts w:ascii="Arial" w:hAnsi="Arial" w:cs="Arial"/>
                <w:color w:val="000000"/>
                <w:sz w:val="20"/>
                <w:szCs w:val="20"/>
              </w:rPr>
              <w:t>GO:0051963</w:t>
            </w:r>
          </w:p>
        </w:tc>
        <w:tc>
          <w:tcPr>
            <w:tcW w:w="1931" w:type="dxa"/>
          </w:tcPr>
          <w:p w:rsidR="0034518F" w:rsidRPr="00DF487C" w:rsidRDefault="0034518F" w:rsidP="00913D4E">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u w:val="single"/>
              </w:rPr>
            </w:pPr>
            <w:r w:rsidRPr="00DF487C">
              <w:rPr>
                <w:rFonts w:ascii="Arial" w:hAnsi="Arial" w:cs="Arial"/>
                <w:color w:val="000000"/>
                <w:sz w:val="20"/>
                <w:szCs w:val="20"/>
                <w:u w:val="single"/>
              </w:rPr>
              <w:t>regulation of synapse assembly</w:t>
            </w:r>
          </w:p>
        </w:tc>
        <w:tc>
          <w:tcPr>
            <w:tcW w:w="128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4.35E-10</w:t>
            </w:r>
          </w:p>
        </w:tc>
        <w:tc>
          <w:tcPr>
            <w:tcW w:w="1383"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5.62E-06</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1.12E-06</w:t>
            </w:r>
          </w:p>
        </w:tc>
        <w:tc>
          <w:tcPr>
            <w:tcW w:w="1427"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1.38</w:t>
            </w:r>
          </w:p>
        </w:tc>
        <w:tc>
          <w:tcPr>
            <w:tcW w:w="1363"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20"/>
                <w:szCs w:val="20"/>
              </w:rPr>
            </w:pPr>
            <w:r w:rsidRPr="00DF487C">
              <w:rPr>
                <w:rFonts w:ascii="Arial" w:hAnsi="Arial" w:cs="Arial"/>
                <w:bCs/>
                <w:color w:val="000000"/>
                <w:sz w:val="20"/>
                <w:szCs w:val="20"/>
              </w:rPr>
              <w:t>392</w:t>
            </w:r>
          </w:p>
        </w:tc>
        <w:tc>
          <w:tcPr>
            <w:tcW w:w="153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2.05</w:t>
            </w:r>
          </w:p>
        </w:tc>
        <w:tc>
          <w:tcPr>
            <w:tcW w:w="126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20"/>
                <w:szCs w:val="20"/>
              </w:rPr>
            </w:pPr>
            <w:r w:rsidRPr="00DF487C">
              <w:rPr>
                <w:rFonts w:ascii="Arial" w:hAnsi="Arial" w:cs="Arial"/>
                <w:bCs/>
                <w:color w:val="000000"/>
                <w:sz w:val="20"/>
                <w:szCs w:val="20"/>
              </w:rPr>
              <w:t>51</w:t>
            </w:r>
          </w:p>
        </w:tc>
      </w:tr>
      <w:tr w:rsidR="0034518F" w:rsidRPr="00DF487C" w:rsidTr="00913D4E">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rPr>
                <w:rFonts w:ascii="Arial" w:hAnsi="Arial" w:cs="Arial"/>
                <w:b w:val="0"/>
                <w:bCs w:val="0"/>
                <w:color w:val="000000"/>
                <w:sz w:val="20"/>
                <w:szCs w:val="20"/>
              </w:rPr>
            </w:pPr>
            <w:r w:rsidRPr="00DF487C">
              <w:rPr>
                <w:rFonts w:ascii="Arial" w:hAnsi="Arial" w:cs="Arial"/>
                <w:color w:val="000000"/>
                <w:sz w:val="20"/>
                <w:szCs w:val="20"/>
              </w:rPr>
              <w:t>GO:0051030</w:t>
            </w:r>
          </w:p>
        </w:tc>
        <w:tc>
          <w:tcPr>
            <w:tcW w:w="1931" w:type="dxa"/>
          </w:tcPr>
          <w:p w:rsidR="0034518F" w:rsidRPr="00DF487C" w:rsidRDefault="0034518F" w:rsidP="00913D4E">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snRNA transport</w:t>
            </w:r>
          </w:p>
        </w:tc>
        <w:tc>
          <w:tcPr>
            <w:tcW w:w="128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w:t>
            </w:r>
          </w:p>
        </w:tc>
        <w:tc>
          <w:tcPr>
            <w:tcW w:w="1369"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8.87E-10</w:t>
            </w:r>
          </w:p>
        </w:tc>
        <w:tc>
          <w:tcPr>
            <w:tcW w:w="1383"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1.15E-05</w:t>
            </w:r>
          </w:p>
        </w:tc>
        <w:tc>
          <w:tcPr>
            <w:tcW w:w="1369"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1.91E-06</w:t>
            </w:r>
          </w:p>
        </w:tc>
        <w:tc>
          <w:tcPr>
            <w:tcW w:w="1427"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11.92</w:t>
            </w:r>
          </w:p>
        </w:tc>
        <w:tc>
          <w:tcPr>
            <w:tcW w:w="1363"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12</w:t>
            </w:r>
          </w:p>
        </w:tc>
        <w:tc>
          <w:tcPr>
            <w:tcW w:w="153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1.15</w:t>
            </w:r>
          </w:p>
        </w:tc>
        <w:tc>
          <w:tcPr>
            <w:tcW w:w="126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w:t>
            </w:r>
          </w:p>
        </w:tc>
      </w:tr>
      <w:tr w:rsidR="0034518F" w:rsidRPr="00DF487C" w:rsidTr="00913D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rPr>
                <w:rFonts w:ascii="Arial" w:hAnsi="Arial" w:cs="Arial"/>
                <w:color w:val="000000"/>
                <w:sz w:val="20"/>
                <w:szCs w:val="20"/>
              </w:rPr>
            </w:pPr>
            <w:r w:rsidRPr="00DF487C">
              <w:rPr>
                <w:rFonts w:ascii="Arial" w:hAnsi="Arial" w:cs="Arial"/>
                <w:color w:val="000000"/>
                <w:sz w:val="20"/>
                <w:szCs w:val="20"/>
              </w:rPr>
              <w:t>GO:0044691</w:t>
            </w:r>
          </w:p>
        </w:tc>
        <w:tc>
          <w:tcPr>
            <w:tcW w:w="1931" w:type="dxa"/>
          </w:tcPr>
          <w:p w:rsidR="0034518F" w:rsidRPr="00DF487C" w:rsidRDefault="0034518F" w:rsidP="00913D4E">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tooth eruption</w:t>
            </w:r>
          </w:p>
        </w:tc>
        <w:tc>
          <w:tcPr>
            <w:tcW w:w="128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7</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3.88E-09</w:t>
            </w:r>
          </w:p>
        </w:tc>
        <w:tc>
          <w:tcPr>
            <w:tcW w:w="1383"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5.02E-05</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7.17E-06</w:t>
            </w:r>
          </w:p>
        </w:tc>
        <w:tc>
          <w:tcPr>
            <w:tcW w:w="1427"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3.74</w:t>
            </w:r>
          </w:p>
        </w:tc>
        <w:tc>
          <w:tcPr>
            <w:tcW w:w="1363"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29</w:t>
            </w:r>
          </w:p>
        </w:tc>
        <w:tc>
          <w:tcPr>
            <w:tcW w:w="153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2.30</w:t>
            </w:r>
          </w:p>
        </w:tc>
        <w:tc>
          <w:tcPr>
            <w:tcW w:w="126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w:t>
            </w:r>
          </w:p>
        </w:tc>
      </w:tr>
      <w:tr w:rsidR="0034518F" w:rsidRPr="00DF487C" w:rsidTr="00913D4E">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rPr>
                <w:rFonts w:ascii="Arial" w:hAnsi="Arial" w:cs="Arial"/>
                <w:color w:val="000000"/>
                <w:sz w:val="20"/>
                <w:szCs w:val="20"/>
              </w:rPr>
            </w:pPr>
            <w:r w:rsidRPr="00DF487C">
              <w:rPr>
                <w:rFonts w:ascii="Arial" w:hAnsi="Arial" w:cs="Arial"/>
                <w:color w:val="000000"/>
                <w:sz w:val="20"/>
                <w:szCs w:val="20"/>
              </w:rPr>
              <w:t>GO:0050803</w:t>
            </w:r>
          </w:p>
        </w:tc>
        <w:tc>
          <w:tcPr>
            <w:tcW w:w="1931" w:type="dxa"/>
          </w:tcPr>
          <w:p w:rsidR="0034518F" w:rsidRPr="00DF487C" w:rsidRDefault="0034518F" w:rsidP="00913D4E">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u w:val="single"/>
              </w:rPr>
            </w:pPr>
            <w:r w:rsidRPr="00DF487C">
              <w:rPr>
                <w:rFonts w:ascii="Arial" w:hAnsi="Arial" w:cs="Arial"/>
                <w:color w:val="000000"/>
                <w:sz w:val="20"/>
                <w:szCs w:val="20"/>
                <w:u w:val="single"/>
              </w:rPr>
              <w:t>regulation of synapse structure or activity</w:t>
            </w:r>
          </w:p>
        </w:tc>
        <w:tc>
          <w:tcPr>
            <w:tcW w:w="128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8</w:t>
            </w:r>
          </w:p>
        </w:tc>
        <w:tc>
          <w:tcPr>
            <w:tcW w:w="1369"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1.21E-08</w:t>
            </w:r>
          </w:p>
        </w:tc>
        <w:tc>
          <w:tcPr>
            <w:tcW w:w="1383"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1.56E-04</w:t>
            </w:r>
          </w:p>
        </w:tc>
        <w:tc>
          <w:tcPr>
            <w:tcW w:w="1369"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1.95E-05</w:t>
            </w:r>
          </w:p>
        </w:tc>
        <w:tc>
          <w:tcPr>
            <w:tcW w:w="1427"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1.31</w:t>
            </w:r>
          </w:p>
        </w:tc>
        <w:tc>
          <w:tcPr>
            <w:tcW w:w="1363"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sz w:val="20"/>
                <w:szCs w:val="20"/>
              </w:rPr>
            </w:pPr>
            <w:r w:rsidRPr="00DF487C">
              <w:rPr>
                <w:rFonts w:ascii="Arial" w:hAnsi="Arial" w:cs="Arial"/>
                <w:bCs/>
                <w:color w:val="000000"/>
                <w:sz w:val="20"/>
                <w:szCs w:val="20"/>
              </w:rPr>
              <w:t>448</w:t>
            </w:r>
          </w:p>
        </w:tc>
        <w:tc>
          <w:tcPr>
            <w:tcW w:w="153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1.80</w:t>
            </w:r>
          </w:p>
        </w:tc>
        <w:tc>
          <w:tcPr>
            <w:tcW w:w="126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sz w:val="20"/>
                <w:szCs w:val="20"/>
              </w:rPr>
            </w:pPr>
            <w:r w:rsidRPr="00DF487C">
              <w:rPr>
                <w:rFonts w:ascii="Arial" w:hAnsi="Arial" w:cs="Arial"/>
                <w:bCs/>
                <w:color w:val="000000"/>
                <w:sz w:val="20"/>
                <w:szCs w:val="20"/>
              </w:rPr>
              <w:t>68</w:t>
            </w:r>
          </w:p>
        </w:tc>
      </w:tr>
      <w:tr w:rsidR="0034518F" w:rsidRPr="00DF487C" w:rsidTr="00913D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rPr>
                <w:rFonts w:ascii="Arial" w:hAnsi="Arial" w:cs="Arial"/>
                <w:b w:val="0"/>
                <w:bCs w:val="0"/>
                <w:color w:val="000000"/>
                <w:sz w:val="20"/>
                <w:szCs w:val="20"/>
              </w:rPr>
            </w:pPr>
            <w:r w:rsidRPr="00DF487C">
              <w:rPr>
                <w:rFonts w:ascii="Arial" w:hAnsi="Arial" w:cs="Arial"/>
                <w:color w:val="000000"/>
                <w:sz w:val="20"/>
                <w:szCs w:val="20"/>
              </w:rPr>
              <w:t>GO:0098609</w:t>
            </w:r>
          </w:p>
        </w:tc>
        <w:tc>
          <w:tcPr>
            <w:tcW w:w="1931" w:type="dxa"/>
          </w:tcPr>
          <w:p w:rsidR="0034518F" w:rsidRPr="00DF487C" w:rsidRDefault="0034518F" w:rsidP="00913D4E">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cell-cell adhesion</w:t>
            </w:r>
          </w:p>
        </w:tc>
        <w:tc>
          <w:tcPr>
            <w:tcW w:w="128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9</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2.21E-08</w:t>
            </w:r>
          </w:p>
        </w:tc>
        <w:tc>
          <w:tcPr>
            <w:tcW w:w="1383"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2.86E-04</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3.18E-05</w:t>
            </w:r>
          </w:p>
        </w:tc>
        <w:tc>
          <w:tcPr>
            <w:tcW w:w="1427"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1.17</w:t>
            </w:r>
          </w:p>
        </w:tc>
        <w:tc>
          <w:tcPr>
            <w:tcW w:w="1363"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1089</w:t>
            </w:r>
          </w:p>
        </w:tc>
        <w:tc>
          <w:tcPr>
            <w:tcW w:w="153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1.29</w:t>
            </w:r>
          </w:p>
        </w:tc>
        <w:tc>
          <w:tcPr>
            <w:tcW w:w="126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238</w:t>
            </w:r>
          </w:p>
        </w:tc>
      </w:tr>
      <w:tr w:rsidR="0034518F" w:rsidRPr="00DF487C" w:rsidTr="00913D4E">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rPr>
                <w:rFonts w:ascii="Arial" w:hAnsi="Arial" w:cs="Arial"/>
                <w:color w:val="000000"/>
                <w:sz w:val="20"/>
                <w:szCs w:val="20"/>
              </w:rPr>
            </w:pPr>
            <w:r w:rsidRPr="00DF487C">
              <w:rPr>
                <w:rFonts w:ascii="Arial" w:hAnsi="Arial" w:cs="Arial"/>
                <w:color w:val="000000"/>
                <w:sz w:val="20"/>
                <w:szCs w:val="20"/>
              </w:rPr>
              <w:t>GO:0050807</w:t>
            </w:r>
          </w:p>
        </w:tc>
        <w:tc>
          <w:tcPr>
            <w:tcW w:w="1931" w:type="dxa"/>
          </w:tcPr>
          <w:p w:rsidR="0034518F" w:rsidRPr="00DF487C" w:rsidRDefault="0034518F" w:rsidP="00913D4E">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u w:val="single"/>
              </w:rPr>
            </w:pPr>
            <w:r w:rsidRPr="00DF487C">
              <w:rPr>
                <w:rFonts w:ascii="Arial" w:hAnsi="Arial" w:cs="Arial"/>
                <w:color w:val="000000"/>
                <w:sz w:val="20"/>
                <w:szCs w:val="20"/>
                <w:u w:val="single"/>
              </w:rPr>
              <w:t>regulation of synapse organization</w:t>
            </w:r>
          </w:p>
        </w:tc>
        <w:tc>
          <w:tcPr>
            <w:tcW w:w="128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10</w:t>
            </w:r>
          </w:p>
        </w:tc>
        <w:tc>
          <w:tcPr>
            <w:tcW w:w="1369"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2.87E-08</w:t>
            </w:r>
          </w:p>
        </w:tc>
        <w:tc>
          <w:tcPr>
            <w:tcW w:w="1383"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3.71E-04</w:t>
            </w:r>
          </w:p>
        </w:tc>
        <w:tc>
          <w:tcPr>
            <w:tcW w:w="1369"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3.71E-05</w:t>
            </w:r>
          </w:p>
        </w:tc>
        <w:tc>
          <w:tcPr>
            <w:tcW w:w="1427"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1.30</w:t>
            </w:r>
          </w:p>
        </w:tc>
        <w:tc>
          <w:tcPr>
            <w:tcW w:w="1363"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sz w:val="20"/>
                <w:szCs w:val="20"/>
              </w:rPr>
            </w:pPr>
            <w:r w:rsidRPr="00DF487C">
              <w:rPr>
                <w:rFonts w:ascii="Arial" w:hAnsi="Arial" w:cs="Arial"/>
                <w:bCs/>
                <w:color w:val="000000"/>
                <w:sz w:val="20"/>
                <w:szCs w:val="20"/>
              </w:rPr>
              <w:t>440</w:t>
            </w:r>
          </w:p>
        </w:tc>
        <w:tc>
          <w:tcPr>
            <w:tcW w:w="153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1.82</w:t>
            </w:r>
          </w:p>
        </w:tc>
        <w:tc>
          <w:tcPr>
            <w:tcW w:w="126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sz w:val="20"/>
                <w:szCs w:val="20"/>
              </w:rPr>
            </w:pPr>
            <w:r w:rsidRPr="00DF487C">
              <w:rPr>
                <w:rFonts w:ascii="Arial" w:hAnsi="Arial" w:cs="Arial"/>
                <w:bCs/>
                <w:color w:val="000000"/>
                <w:sz w:val="20"/>
                <w:szCs w:val="20"/>
              </w:rPr>
              <w:t>66</w:t>
            </w:r>
          </w:p>
        </w:tc>
      </w:tr>
      <w:tr w:rsidR="0034518F" w:rsidRPr="00DF487C" w:rsidTr="00913D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rPr>
                <w:rFonts w:ascii="Arial" w:hAnsi="Arial" w:cs="Arial"/>
                <w:b w:val="0"/>
                <w:bCs w:val="0"/>
                <w:color w:val="000000"/>
                <w:sz w:val="20"/>
                <w:szCs w:val="20"/>
              </w:rPr>
            </w:pPr>
            <w:r w:rsidRPr="00DF487C">
              <w:rPr>
                <w:rFonts w:ascii="Arial" w:hAnsi="Arial" w:cs="Arial"/>
                <w:color w:val="000000"/>
                <w:sz w:val="20"/>
                <w:szCs w:val="20"/>
              </w:rPr>
              <w:t>GO:0098904</w:t>
            </w:r>
          </w:p>
        </w:tc>
        <w:tc>
          <w:tcPr>
            <w:tcW w:w="1931" w:type="dxa"/>
          </w:tcPr>
          <w:p w:rsidR="0034518F" w:rsidRPr="00DF487C" w:rsidRDefault="0034518F" w:rsidP="00913D4E">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regulation of AV node cell action potential</w:t>
            </w:r>
          </w:p>
        </w:tc>
        <w:tc>
          <w:tcPr>
            <w:tcW w:w="128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11</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8.99E-08</w:t>
            </w:r>
          </w:p>
        </w:tc>
        <w:tc>
          <w:tcPr>
            <w:tcW w:w="1383"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1.16E-03</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1.06E-04</w:t>
            </w:r>
          </w:p>
        </w:tc>
        <w:tc>
          <w:tcPr>
            <w:tcW w:w="1427"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3.22</w:t>
            </w:r>
          </w:p>
        </w:tc>
        <w:tc>
          <w:tcPr>
            <w:tcW w:w="1363"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29</w:t>
            </w:r>
          </w:p>
        </w:tc>
        <w:tc>
          <w:tcPr>
            <w:tcW w:w="153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3.45</w:t>
            </w:r>
          </w:p>
        </w:tc>
        <w:tc>
          <w:tcPr>
            <w:tcW w:w="126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w:t>
            </w:r>
          </w:p>
        </w:tc>
      </w:tr>
      <w:tr w:rsidR="0034518F" w:rsidRPr="00DF487C" w:rsidTr="00913D4E">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rPr>
                <w:rFonts w:ascii="Arial" w:hAnsi="Arial" w:cs="Arial"/>
                <w:color w:val="000000"/>
                <w:sz w:val="20"/>
                <w:szCs w:val="20"/>
              </w:rPr>
            </w:pPr>
            <w:r w:rsidRPr="00DF487C">
              <w:rPr>
                <w:rFonts w:ascii="Arial" w:hAnsi="Arial" w:cs="Arial"/>
                <w:color w:val="000000"/>
                <w:sz w:val="20"/>
                <w:szCs w:val="20"/>
              </w:rPr>
              <w:t>GO:0086072</w:t>
            </w:r>
          </w:p>
        </w:tc>
        <w:tc>
          <w:tcPr>
            <w:tcW w:w="1931" w:type="dxa"/>
          </w:tcPr>
          <w:p w:rsidR="0034518F" w:rsidRPr="00DF487C" w:rsidRDefault="0034518F" w:rsidP="00913D4E">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AV node cell-bundle of His cell adhesion involved in cell communication</w:t>
            </w:r>
          </w:p>
        </w:tc>
        <w:tc>
          <w:tcPr>
            <w:tcW w:w="128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12</w:t>
            </w:r>
          </w:p>
        </w:tc>
        <w:tc>
          <w:tcPr>
            <w:tcW w:w="1369"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1.47E-07</w:t>
            </w:r>
          </w:p>
        </w:tc>
        <w:tc>
          <w:tcPr>
            <w:tcW w:w="1383"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1.90E-03</w:t>
            </w:r>
          </w:p>
        </w:tc>
        <w:tc>
          <w:tcPr>
            <w:tcW w:w="1369"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1.58E-04</w:t>
            </w:r>
          </w:p>
        </w:tc>
        <w:tc>
          <w:tcPr>
            <w:tcW w:w="1427"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3.89</w:t>
            </w:r>
          </w:p>
        </w:tc>
        <w:tc>
          <w:tcPr>
            <w:tcW w:w="1363"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22</w:t>
            </w:r>
          </w:p>
        </w:tc>
        <w:tc>
          <w:tcPr>
            <w:tcW w:w="153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3.45</w:t>
            </w:r>
          </w:p>
        </w:tc>
        <w:tc>
          <w:tcPr>
            <w:tcW w:w="126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w:t>
            </w:r>
          </w:p>
        </w:tc>
      </w:tr>
      <w:tr w:rsidR="0034518F" w:rsidRPr="00DF487C" w:rsidTr="00913D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rPr>
                <w:rFonts w:ascii="Arial" w:hAnsi="Arial" w:cs="Arial"/>
                <w:color w:val="000000"/>
                <w:sz w:val="20"/>
                <w:szCs w:val="20"/>
              </w:rPr>
            </w:pPr>
            <w:r w:rsidRPr="00DF487C">
              <w:rPr>
                <w:rFonts w:ascii="Arial" w:hAnsi="Arial" w:cs="Arial"/>
                <w:color w:val="000000"/>
                <w:sz w:val="20"/>
                <w:szCs w:val="20"/>
              </w:rPr>
              <w:t>GO:0007210</w:t>
            </w:r>
          </w:p>
        </w:tc>
        <w:tc>
          <w:tcPr>
            <w:tcW w:w="1931" w:type="dxa"/>
          </w:tcPr>
          <w:p w:rsidR="0034518F" w:rsidRPr="00DF487C" w:rsidRDefault="0034518F" w:rsidP="00913D4E">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u w:val="single"/>
              </w:rPr>
            </w:pPr>
            <w:r w:rsidRPr="00DF487C">
              <w:rPr>
                <w:rFonts w:ascii="Arial" w:hAnsi="Arial" w:cs="Arial"/>
                <w:sz w:val="20"/>
                <w:szCs w:val="20"/>
                <w:u w:val="single"/>
              </w:rPr>
              <w:t>serotonin receptor signaling pathway</w:t>
            </w:r>
          </w:p>
        </w:tc>
        <w:tc>
          <w:tcPr>
            <w:tcW w:w="128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13</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1.60E-07</w:t>
            </w:r>
          </w:p>
        </w:tc>
        <w:tc>
          <w:tcPr>
            <w:tcW w:w="1383"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2.07E-03</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1.59E-04</w:t>
            </w:r>
          </w:p>
        </w:tc>
        <w:tc>
          <w:tcPr>
            <w:tcW w:w="1427"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2.21</w:t>
            </w:r>
          </w:p>
        </w:tc>
        <w:tc>
          <w:tcPr>
            <w:tcW w:w="1363"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54</w:t>
            </w:r>
          </w:p>
        </w:tc>
        <w:tc>
          <w:tcPr>
            <w:tcW w:w="153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3.45</w:t>
            </w:r>
          </w:p>
        </w:tc>
        <w:tc>
          <w:tcPr>
            <w:tcW w:w="126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7</w:t>
            </w:r>
          </w:p>
        </w:tc>
      </w:tr>
      <w:tr w:rsidR="0034518F" w:rsidRPr="00DF487C" w:rsidTr="00913D4E">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rPr>
                <w:rFonts w:ascii="Arial" w:hAnsi="Arial" w:cs="Arial"/>
                <w:color w:val="000000"/>
                <w:sz w:val="20"/>
                <w:szCs w:val="20"/>
              </w:rPr>
            </w:pPr>
            <w:r w:rsidRPr="00DF487C">
              <w:rPr>
                <w:rFonts w:ascii="Arial" w:hAnsi="Arial" w:cs="Arial"/>
                <w:color w:val="000000"/>
                <w:sz w:val="20"/>
                <w:szCs w:val="20"/>
              </w:rPr>
              <w:lastRenderedPageBreak/>
              <w:t>GO:1904292</w:t>
            </w:r>
          </w:p>
        </w:tc>
        <w:tc>
          <w:tcPr>
            <w:tcW w:w="1931" w:type="dxa"/>
          </w:tcPr>
          <w:p w:rsidR="0034518F" w:rsidRPr="00DF487C" w:rsidRDefault="0034518F" w:rsidP="00913D4E">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regulation of ERAD pathway</w:t>
            </w:r>
          </w:p>
        </w:tc>
        <w:tc>
          <w:tcPr>
            <w:tcW w:w="128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14</w:t>
            </w:r>
          </w:p>
        </w:tc>
        <w:tc>
          <w:tcPr>
            <w:tcW w:w="1369"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1.78E-07</w:t>
            </w:r>
          </w:p>
        </w:tc>
        <w:tc>
          <w:tcPr>
            <w:tcW w:w="1383"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2.30E-03</w:t>
            </w:r>
          </w:p>
        </w:tc>
        <w:tc>
          <w:tcPr>
            <w:tcW w:w="1369"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1.64E-04</w:t>
            </w:r>
          </w:p>
        </w:tc>
        <w:tc>
          <w:tcPr>
            <w:tcW w:w="1427"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2.13</w:t>
            </w:r>
          </w:p>
        </w:tc>
        <w:tc>
          <w:tcPr>
            <w:tcW w:w="1363"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58</w:t>
            </w:r>
          </w:p>
        </w:tc>
        <w:tc>
          <w:tcPr>
            <w:tcW w:w="153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0.89</w:t>
            </w:r>
          </w:p>
        </w:tc>
        <w:tc>
          <w:tcPr>
            <w:tcW w:w="126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7</w:t>
            </w:r>
          </w:p>
        </w:tc>
      </w:tr>
      <w:tr w:rsidR="0034518F" w:rsidRPr="00DF487C" w:rsidTr="00913D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rPr>
                <w:rFonts w:ascii="Arial" w:hAnsi="Arial" w:cs="Arial"/>
                <w:color w:val="000000"/>
                <w:sz w:val="20"/>
                <w:szCs w:val="20"/>
              </w:rPr>
            </w:pPr>
            <w:r w:rsidRPr="00DF487C">
              <w:rPr>
                <w:rFonts w:ascii="Arial" w:hAnsi="Arial" w:cs="Arial"/>
                <w:color w:val="000000"/>
                <w:sz w:val="20"/>
                <w:szCs w:val="20"/>
              </w:rPr>
              <w:t>GO:0046068</w:t>
            </w:r>
          </w:p>
        </w:tc>
        <w:tc>
          <w:tcPr>
            <w:tcW w:w="1931" w:type="dxa"/>
          </w:tcPr>
          <w:p w:rsidR="0034518F" w:rsidRPr="00DF487C" w:rsidRDefault="0034518F" w:rsidP="00913D4E">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cGMP metabolic process</w:t>
            </w:r>
          </w:p>
        </w:tc>
        <w:tc>
          <w:tcPr>
            <w:tcW w:w="128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15</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3.43E-07</w:t>
            </w:r>
          </w:p>
        </w:tc>
        <w:tc>
          <w:tcPr>
            <w:tcW w:w="1383"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4.43E-03</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2.95E-04</w:t>
            </w:r>
          </w:p>
        </w:tc>
        <w:tc>
          <w:tcPr>
            <w:tcW w:w="1427"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1.78</w:t>
            </w:r>
          </w:p>
        </w:tc>
        <w:tc>
          <w:tcPr>
            <w:tcW w:w="1363"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90</w:t>
            </w:r>
          </w:p>
        </w:tc>
        <w:tc>
          <w:tcPr>
            <w:tcW w:w="153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1.56</w:t>
            </w:r>
          </w:p>
        </w:tc>
        <w:tc>
          <w:tcPr>
            <w:tcW w:w="126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14</w:t>
            </w:r>
          </w:p>
        </w:tc>
      </w:tr>
      <w:tr w:rsidR="0034518F" w:rsidRPr="00DF487C" w:rsidTr="00913D4E">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rPr>
                <w:rFonts w:ascii="Arial" w:hAnsi="Arial" w:cs="Arial"/>
                <w:color w:val="000000"/>
                <w:sz w:val="20"/>
                <w:szCs w:val="20"/>
              </w:rPr>
            </w:pPr>
            <w:r w:rsidRPr="00DF487C">
              <w:rPr>
                <w:rFonts w:ascii="Arial" w:hAnsi="Arial" w:cs="Arial"/>
                <w:color w:val="000000"/>
                <w:sz w:val="20"/>
                <w:szCs w:val="20"/>
              </w:rPr>
              <w:t>GO:0051096</w:t>
            </w:r>
          </w:p>
        </w:tc>
        <w:tc>
          <w:tcPr>
            <w:tcW w:w="1931" w:type="dxa"/>
          </w:tcPr>
          <w:p w:rsidR="0034518F" w:rsidRPr="00DF487C" w:rsidRDefault="0034518F" w:rsidP="00913D4E">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positive regulation of helicase activity</w:t>
            </w:r>
          </w:p>
        </w:tc>
        <w:tc>
          <w:tcPr>
            <w:tcW w:w="128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16</w:t>
            </w:r>
          </w:p>
        </w:tc>
        <w:tc>
          <w:tcPr>
            <w:tcW w:w="1369"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3.66E-07</w:t>
            </w:r>
          </w:p>
        </w:tc>
        <w:tc>
          <w:tcPr>
            <w:tcW w:w="1383"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4.72E-03</w:t>
            </w:r>
          </w:p>
        </w:tc>
        <w:tc>
          <w:tcPr>
            <w:tcW w:w="1369"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2.95E-04</w:t>
            </w:r>
          </w:p>
        </w:tc>
        <w:tc>
          <w:tcPr>
            <w:tcW w:w="1427"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3.16</w:t>
            </w:r>
          </w:p>
        </w:tc>
        <w:tc>
          <w:tcPr>
            <w:tcW w:w="1363"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27</w:t>
            </w:r>
          </w:p>
        </w:tc>
        <w:tc>
          <w:tcPr>
            <w:tcW w:w="153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1.15</w:t>
            </w:r>
          </w:p>
        </w:tc>
        <w:tc>
          <w:tcPr>
            <w:tcW w:w="126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w:t>
            </w:r>
          </w:p>
        </w:tc>
      </w:tr>
      <w:tr w:rsidR="0034518F" w:rsidRPr="00DF487C" w:rsidTr="00913D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rPr>
                <w:rFonts w:ascii="Arial" w:hAnsi="Arial" w:cs="Arial"/>
                <w:color w:val="000000"/>
                <w:sz w:val="20"/>
                <w:szCs w:val="20"/>
              </w:rPr>
            </w:pPr>
            <w:r w:rsidRPr="00DF487C">
              <w:rPr>
                <w:rFonts w:ascii="Arial" w:hAnsi="Arial" w:cs="Arial"/>
                <w:color w:val="000000"/>
                <w:sz w:val="20"/>
                <w:szCs w:val="20"/>
              </w:rPr>
              <w:t>GO:0007416</w:t>
            </w:r>
          </w:p>
        </w:tc>
        <w:tc>
          <w:tcPr>
            <w:tcW w:w="1931" w:type="dxa"/>
          </w:tcPr>
          <w:p w:rsidR="0034518F" w:rsidRPr="00DF487C" w:rsidRDefault="0034518F" w:rsidP="00913D4E">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u w:val="single"/>
              </w:rPr>
            </w:pPr>
            <w:r w:rsidRPr="00DF487C">
              <w:rPr>
                <w:rFonts w:ascii="Arial" w:hAnsi="Arial" w:cs="Arial"/>
                <w:color w:val="000000"/>
                <w:sz w:val="20"/>
                <w:szCs w:val="20"/>
                <w:u w:val="single"/>
              </w:rPr>
              <w:t>synapse assembly</w:t>
            </w:r>
          </w:p>
        </w:tc>
        <w:tc>
          <w:tcPr>
            <w:tcW w:w="128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17</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3.77E-07</w:t>
            </w:r>
          </w:p>
        </w:tc>
        <w:tc>
          <w:tcPr>
            <w:tcW w:w="1383"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4.86E-03</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2.86E-04</w:t>
            </w:r>
          </w:p>
        </w:tc>
        <w:tc>
          <w:tcPr>
            <w:tcW w:w="1427"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1.36</w:t>
            </w:r>
          </w:p>
        </w:tc>
        <w:tc>
          <w:tcPr>
            <w:tcW w:w="1363"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20"/>
                <w:szCs w:val="20"/>
              </w:rPr>
            </w:pPr>
            <w:r w:rsidRPr="00DF487C">
              <w:rPr>
                <w:rFonts w:ascii="Arial" w:hAnsi="Arial" w:cs="Arial"/>
                <w:bCs/>
                <w:color w:val="000000"/>
                <w:sz w:val="20"/>
                <w:szCs w:val="20"/>
              </w:rPr>
              <w:t>285</w:t>
            </w:r>
          </w:p>
        </w:tc>
        <w:tc>
          <w:tcPr>
            <w:tcW w:w="153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1.57</w:t>
            </w:r>
          </w:p>
        </w:tc>
        <w:tc>
          <w:tcPr>
            <w:tcW w:w="126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20"/>
                <w:szCs w:val="20"/>
              </w:rPr>
            </w:pPr>
            <w:r w:rsidRPr="00DF487C">
              <w:rPr>
                <w:rFonts w:ascii="Arial" w:hAnsi="Arial" w:cs="Arial"/>
                <w:bCs/>
                <w:color w:val="000000"/>
                <w:sz w:val="20"/>
                <w:szCs w:val="20"/>
              </w:rPr>
              <w:t>35</w:t>
            </w:r>
          </w:p>
        </w:tc>
      </w:tr>
      <w:tr w:rsidR="0034518F" w:rsidRPr="00DF487C" w:rsidTr="00913D4E">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rPr>
                <w:rFonts w:ascii="Arial" w:hAnsi="Arial" w:cs="Arial"/>
                <w:b w:val="0"/>
                <w:bCs w:val="0"/>
                <w:color w:val="000000"/>
                <w:sz w:val="20"/>
                <w:szCs w:val="20"/>
              </w:rPr>
            </w:pPr>
            <w:r w:rsidRPr="00DF487C">
              <w:rPr>
                <w:rFonts w:ascii="Arial" w:hAnsi="Arial" w:cs="Arial"/>
                <w:color w:val="000000"/>
                <w:sz w:val="20"/>
                <w:szCs w:val="20"/>
              </w:rPr>
              <w:t>GO:0000710</w:t>
            </w:r>
          </w:p>
        </w:tc>
        <w:tc>
          <w:tcPr>
            <w:tcW w:w="1931" w:type="dxa"/>
          </w:tcPr>
          <w:p w:rsidR="0034518F" w:rsidRPr="00DF487C" w:rsidRDefault="0034518F" w:rsidP="00913D4E">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meiotic mismatch repair</w:t>
            </w:r>
          </w:p>
        </w:tc>
        <w:tc>
          <w:tcPr>
            <w:tcW w:w="128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18</w:t>
            </w:r>
          </w:p>
        </w:tc>
        <w:tc>
          <w:tcPr>
            <w:tcW w:w="1369"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3.77E-07</w:t>
            </w:r>
          </w:p>
        </w:tc>
        <w:tc>
          <w:tcPr>
            <w:tcW w:w="1383"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4.87E-03</w:t>
            </w:r>
          </w:p>
        </w:tc>
        <w:tc>
          <w:tcPr>
            <w:tcW w:w="1369"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2.70E-04</w:t>
            </w:r>
          </w:p>
        </w:tc>
        <w:tc>
          <w:tcPr>
            <w:tcW w:w="1427"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8.73</w:t>
            </w:r>
          </w:p>
        </w:tc>
        <w:tc>
          <w:tcPr>
            <w:tcW w:w="1363"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10</w:t>
            </w:r>
          </w:p>
        </w:tc>
        <w:tc>
          <w:tcPr>
            <w:tcW w:w="153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1.72</w:t>
            </w:r>
          </w:p>
        </w:tc>
        <w:tc>
          <w:tcPr>
            <w:tcW w:w="126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w:t>
            </w:r>
          </w:p>
        </w:tc>
      </w:tr>
      <w:tr w:rsidR="0034518F" w:rsidRPr="00DF487C" w:rsidTr="00913D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rPr>
                <w:rFonts w:ascii="Arial" w:hAnsi="Arial" w:cs="Arial"/>
                <w:color w:val="000000"/>
                <w:sz w:val="20"/>
                <w:szCs w:val="20"/>
              </w:rPr>
            </w:pPr>
            <w:r w:rsidRPr="00DF487C">
              <w:rPr>
                <w:rFonts w:ascii="Arial" w:hAnsi="Arial" w:cs="Arial"/>
                <w:color w:val="000000"/>
                <w:sz w:val="20"/>
                <w:szCs w:val="20"/>
              </w:rPr>
              <w:t>GO:0034497</w:t>
            </w:r>
          </w:p>
        </w:tc>
        <w:tc>
          <w:tcPr>
            <w:tcW w:w="1931" w:type="dxa"/>
          </w:tcPr>
          <w:p w:rsidR="0034518F" w:rsidRPr="00DF487C" w:rsidRDefault="0034518F" w:rsidP="00913D4E">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protein localization to pre-</w:t>
            </w:r>
            <w:proofErr w:type="spellStart"/>
            <w:r w:rsidRPr="00DF487C">
              <w:rPr>
                <w:rFonts w:ascii="Arial" w:hAnsi="Arial" w:cs="Arial"/>
                <w:color w:val="000000"/>
                <w:sz w:val="20"/>
                <w:szCs w:val="20"/>
              </w:rPr>
              <w:t>autophagosomal</w:t>
            </w:r>
            <w:proofErr w:type="spellEnd"/>
            <w:r w:rsidRPr="00DF487C">
              <w:rPr>
                <w:rFonts w:ascii="Arial" w:hAnsi="Arial" w:cs="Arial"/>
                <w:color w:val="000000"/>
                <w:sz w:val="20"/>
                <w:szCs w:val="20"/>
              </w:rPr>
              <w:t xml:space="preserve"> structure</w:t>
            </w:r>
          </w:p>
        </w:tc>
        <w:tc>
          <w:tcPr>
            <w:tcW w:w="128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19</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4.80E-07</w:t>
            </w:r>
          </w:p>
        </w:tc>
        <w:tc>
          <w:tcPr>
            <w:tcW w:w="1383"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6.20E-03</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3.27E-04</w:t>
            </w:r>
          </w:p>
        </w:tc>
        <w:tc>
          <w:tcPr>
            <w:tcW w:w="1427"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2.56</w:t>
            </w:r>
          </w:p>
        </w:tc>
        <w:tc>
          <w:tcPr>
            <w:tcW w:w="1363"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37</w:t>
            </w:r>
          </w:p>
        </w:tc>
        <w:tc>
          <w:tcPr>
            <w:tcW w:w="153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1.15</w:t>
            </w:r>
          </w:p>
        </w:tc>
        <w:tc>
          <w:tcPr>
            <w:tcW w:w="126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w:t>
            </w:r>
          </w:p>
        </w:tc>
      </w:tr>
      <w:tr w:rsidR="0034518F" w:rsidRPr="00DF487C" w:rsidTr="00913D4E">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rPr>
                <w:rFonts w:ascii="Arial" w:hAnsi="Arial" w:cs="Arial"/>
                <w:color w:val="000000"/>
                <w:sz w:val="20"/>
                <w:szCs w:val="20"/>
              </w:rPr>
            </w:pPr>
            <w:r w:rsidRPr="00DF487C">
              <w:rPr>
                <w:rFonts w:ascii="Arial" w:hAnsi="Arial" w:cs="Arial"/>
                <w:color w:val="000000"/>
                <w:sz w:val="20"/>
                <w:szCs w:val="20"/>
              </w:rPr>
              <w:t>GO:0072378</w:t>
            </w:r>
          </w:p>
        </w:tc>
        <w:tc>
          <w:tcPr>
            <w:tcW w:w="1931" w:type="dxa"/>
          </w:tcPr>
          <w:p w:rsidR="0034518F" w:rsidRPr="00DF487C" w:rsidRDefault="0034518F" w:rsidP="00913D4E">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blood coagulation, fibrin clot formation</w:t>
            </w:r>
          </w:p>
        </w:tc>
        <w:tc>
          <w:tcPr>
            <w:tcW w:w="128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20</w:t>
            </w:r>
          </w:p>
        </w:tc>
        <w:tc>
          <w:tcPr>
            <w:tcW w:w="1369"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4.90E-07</w:t>
            </w:r>
          </w:p>
        </w:tc>
        <w:tc>
          <w:tcPr>
            <w:tcW w:w="1383"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6.34E-03</w:t>
            </w:r>
          </w:p>
        </w:tc>
        <w:tc>
          <w:tcPr>
            <w:tcW w:w="1369"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3.17E-04</w:t>
            </w:r>
          </w:p>
        </w:tc>
        <w:tc>
          <w:tcPr>
            <w:tcW w:w="1427"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2.29</w:t>
            </w:r>
          </w:p>
        </w:tc>
        <w:tc>
          <w:tcPr>
            <w:tcW w:w="1363"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46</w:t>
            </w:r>
          </w:p>
        </w:tc>
        <w:tc>
          <w:tcPr>
            <w:tcW w:w="153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1.46</w:t>
            </w:r>
          </w:p>
        </w:tc>
        <w:tc>
          <w:tcPr>
            <w:tcW w:w="126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11</w:t>
            </w:r>
          </w:p>
        </w:tc>
      </w:tr>
      <w:tr w:rsidR="0034518F" w:rsidRPr="00DF487C" w:rsidTr="00913D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rPr>
                <w:rFonts w:ascii="Arial" w:hAnsi="Arial" w:cs="Arial"/>
                <w:color w:val="000000"/>
                <w:sz w:val="20"/>
                <w:szCs w:val="20"/>
              </w:rPr>
            </w:pPr>
            <w:r w:rsidRPr="00DF487C">
              <w:rPr>
                <w:rFonts w:ascii="Arial" w:hAnsi="Arial" w:cs="Arial"/>
                <w:color w:val="000000"/>
                <w:sz w:val="20"/>
                <w:szCs w:val="20"/>
              </w:rPr>
              <w:t>GO:0097104</w:t>
            </w:r>
          </w:p>
        </w:tc>
        <w:tc>
          <w:tcPr>
            <w:tcW w:w="1931" w:type="dxa"/>
          </w:tcPr>
          <w:p w:rsidR="0034518F" w:rsidRPr="00DF487C" w:rsidRDefault="0034518F" w:rsidP="00913D4E">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u w:val="single"/>
              </w:rPr>
            </w:pPr>
            <w:r w:rsidRPr="00DF487C">
              <w:rPr>
                <w:rFonts w:ascii="Arial" w:hAnsi="Arial" w:cs="Arial"/>
                <w:color w:val="000000"/>
                <w:sz w:val="20"/>
                <w:szCs w:val="20"/>
                <w:u w:val="single"/>
              </w:rPr>
              <w:t>postsynaptic membrane assembly</w:t>
            </w:r>
          </w:p>
        </w:tc>
        <w:tc>
          <w:tcPr>
            <w:tcW w:w="128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21</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5.18E-07</w:t>
            </w:r>
          </w:p>
        </w:tc>
        <w:tc>
          <w:tcPr>
            <w:tcW w:w="1383"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6.69E-03</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3.19E-04</w:t>
            </w:r>
          </w:p>
        </w:tc>
        <w:tc>
          <w:tcPr>
            <w:tcW w:w="1427"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1.79</w:t>
            </w:r>
          </w:p>
        </w:tc>
        <w:tc>
          <w:tcPr>
            <w:tcW w:w="1363"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86</w:t>
            </w:r>
          </w:p>
        </w:tc>
        <w:tc>
          <w:tcPr>
            <w:tcW w:w="153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2.07</w:t>
            </w:r>
          </w:p>
        </w:tc>
        <w:tc>
          <w:tcPr>
            <w:tcW w:w="126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w:t>
            </w:r>
          </w:p>
        </w:tc>
      </w:tr>
      <w:tr w:rsidR="0034518F" w:rsidRPr="00DF487C" w:rsidTr="00913D4E">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rPr>
                <w:rFonts w:ascii="Arial" w:hAnsi="Arial" w:cs="Arial"/>
                <w:color w:val="000000"/>
                <w:sz w:val="20"/>
                <w:szCs w:val="20"/>
              </w:rPr>
            </w:pPr>
            <w:r w:rsidRPr="00DF487C">
              <w:rPr>
                <w:rFonts w:ascii="Arial" w:hAnsi="Arial" w:cs="Arial"/>
                <w:color w:val="000000"/>
                <w:sz w:val="20"/>
                <w:szCs w:val="20"/>
              </w:rPr>
              <w:t>GO:0099560</w:t>
            </w:r>
          </w:p>
        </w:tc>
        <w:tc>
          <w:tcPr>
            <w:tcW w:w="1931" w:type="dxa"/>
          </w:tcPr>
          <w:p w:rsidR="0034518F" w:rsidRPr="00DF487C" w:rsidRDefault="0034518F" w:rsidP="00913D4E">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u w:val="single"/>
              </w:rPr>
            </w:pPr>
            <w:r w:rsidRPr="00DF487C">
              <w:rPr>
                <w:rFonts w:ascii="Arial" w:hAnsi="Arial" w:cs="Arial"/>
                <w:color w:val="000000"/>
                <w:sz w:val="20"/>
                <w:szCs w:val="20"/>
                <w:u w:val="single"/>
              </w:rPr>
              <w:t>synaptic membrane adhesion</w:t>
            </w:r>
          </w:p>
        </w:tc>
        <w:tc>
          <w:tcPr>
            <w:tcW w:w="128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22</w:t>
            </w:r>
          </w:p>
        </w:tc>
        <w:tc>
          <w:tcPr>
            <w:tcW w:w="1369"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5.29E-07</w:t>
            </w:r>
          </w:p>
        </w:tc>
        <w:tc>
          <w:tcPr>
            <w:tcW w:w="1383"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6.83E-03</w:t>
            </w:r>
          </w:p>
        </w:tc>
        <w:tc>
          <w:tcPr>
            <w:tcW w:w="1369"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3.10E-04</w:t>
            </w:r>
          </w:p>
        </w:tc>
        <w:tc>
          <w:tcPr>
            <w:tcW w:w="1427"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2.05</w:t>
            </w:r>
          </w:p>
        </w:tc>
        <w:tc>
          <w:tcPr>
            <w:tcW w:w="1363"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59</w:t>
            </w:r>
          </w:p>
        </w:tc>
        <w:tc>
          <w:tcPr>
            <w:tcW w:w="153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3.45</w:t>
            </w:r>
          </w:p>
        </w:tc>
        <w:tc>
          <w:tcPr>
            <w:tcW w:w="126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w:t>
            </w:r>
          </w:p>
        </w:tc>
      </w:tr>
      <w:tr w:rsidR="0034518F" w:rsidRPr="00DF487C" w:rsidTr="00913D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rPr>
                <w:rFonts w:ascii="Arial" w:hAnsi="Arial" w:cs="Arial"/>
                <w:color w:val="000000"/>
                <w:sz w:val="20"/>
                <w:szCs w:val="20"/>
              </w:rPr>
            </w:pPr>
            <w:r w:rsidRPr="00DF487C">
              <w:rPr>
                <w:rFonts w:ascii="Arial" w:hAnsi="Arial" w:cs="Arial"/>
                <w:color w:val="000000"/>
                <w:sz w:val="20"/>
                <w:szCs w:val="20"/>
              </w:rPr>
              <w:t>GO:0006182</w:t>
            </w:r>
          </w:p>
        </w:tc>
        <w:tc>
          <w:tcPr>
            <w:tcW w:w="1931" w:type="dxa"/>
          </w:tcPr>
          <w:p w:rsidR="0034518F" w:rsidRPr="00DF487C" w:rsidRDefault="0034518F" w:rsidP="00913D4E">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cGMP biosynthetic process</w:t>
            </w:r>
          </w:p>
        </w:tc>
        <w:tc>
          <w:tcPr>
            <w:tcW w:w="128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23</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5.44E-07</w:t>
            </w:r>
          </w:p>
        </w:tc>
        <w:tc>
          <w:tcPr>
            <w:tcW w:w="1383"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7.03E-03</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3.06E-04</w:t>
            </w:r>
          </w:p>
        </w:tc>
        <w:tc>
          <w:tcPr>
            <w:tcW w:w="1427"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1.99</w:t>
            </w:r>
          </w:p>
        </w:tc>
        <w:tc>
          <w:tcPr>
            <w:tcW w:w="1363"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63</w:t>
            </w:r>
          </w:p>
        </w:tc>
        <w:tc>
          <w:tcPr>
            <w:tcW w:w="153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1.29</w:t>
            </w:r>
          </w:p>
        </w:tc>
        <w:tc>
          <w:tcPr>
            <w:tcW w:w="126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9</w:t>
            </w:r>
          </w:p>
        </w:tc>
      </w:tr>
      <w:tr w:rsidR="0034518F" w:rsidRPr="00DF487C" w:rsidTr="00913D4E">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rPr>
                <w:rFonts w:ascii="Arial" w:hAnsi="Arial" w:cs="Arial"/>
                <w:color w:val="000000"/>
                <w:sz w:val="20"/>
                <w:szCs w:val="20"/>
              </w:rPr>
            </w:pPr>
            <w:r w:rsidRPr="00DF487C">
              <w:rPr>
                <w:rFonts w:ascii="Arial" w:hAnsi="Arial" w:cs="Arial"/>
                <w:color w:val="000000"/>
                <w:sz w:val="20"/>
                <w:szCs w:val="20"/>
              </w:rPr>
              <w:t>GO:0007215</w:t>
            </w:r>
          </w:p>
        </w:tc>
        <w:tc>
          <w:tcPr>
            <w:tcW w:w="1931" w:type="dxa"/>
          </w:tcPr>
          <w:p w:rsidR="0034518F" w:rsidRPr="00DF487C" w:rsidRDefault="0034518F" w:rsidP="00913D4E">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u w:val="single"/>
              </w:rPr>
            </w:pPr>
            <w:r w:rsidRPr="00DF487C">
              <w:rPr>
                <w:rFonts w:ascii="Arial" w:hAnsi="Arial" w:cs="Arial"/>
                <w:color w:val="000000"/>
                <w:sz w:val="20"/>
                <w:szCs w:val="20"/>
                <w:u w:val="single"/>
              </w:rPr>
              <w:t>glutamate receptor signaling pathway</w:t>
            </w:r>
          </w:p>
        </w:tc>
        <w:tc>
          <w:tcPr>
            <w:tcW w:w="128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24</w:t>
            </w:r>
          </w:p>
        </w:tc>
        <w:tc>
          <w:tcPr>
            <w:tcW w:w="1369"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7.16E-07</w:t>
            </w:r>
          </w:p>
        </w:tc>
        <w:tc>
          <w:tcPr>
            <w:tcW w:w="1383"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9.25E-03</w:t>
            </w:r>
          </w:p>
        </w:tc>
        <w:tc>
          <w:tcPr>
            <w:tcW w:w="1369"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3.85E-04</w:t>
            </w:r>
          </w:p>
        </w:tc>
        <w:tc>
          <w:tcPr>
            <w:tcW w:w="1427"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1.48</w:t>
            </w:r>
          </w:p>
        </w:tc>
        <w:tc>
          <w:tcPr>
            <w:tcW w:w="1363"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173</w:t>
            </w:r>
          </w:p>
        </w:tc>
        <w:tc>
          <w:tcPr>
            <w:tcW w:w="153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2.12</w:t>
            </w:r>
          </w:p>
        </w:tc>
        <w:tc>
          <w:tcPr>
            <w:tcW w:w="126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27</w:t>
            </w:r>
          </w:p>
        </w:tc>
      </w:tr>
      <w:tr w:rsidR="0034518F" w:rsidRPr="00DF487C" w:rsidTr="00913D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rPr>
                <w:rFonts w:ascii="Arial" w:hAnsi="Arial" w:cs="Arial"/>
                <w:color w:val="000000"/>
                <w:sz w:val="20"/>
                <w:szCs w:val="20"/>
              </w:rPr>
            </w:pPr>
            <w:r w:rsidRPr="00DF487C">
              <w:rPr>
                <w:rFonts w:ascii="Arial" w:hAnsi="Arial" w:cs="Arial"/>
                <w:color w:val="000000"/>
                <w:sz w:val="20"/>
                <w:szCs w:val="20"/>
              </w:rPr>
              <w:t>GO:0098792</w:t>
            </w:r>
          </w:p>
        </w:tc>
        <w:tc>
          <w:tcPr>
            <w:tcW w:w="1931" w:type="dxa"/>
          </w:tcPr>
          <w:p w:rsidR="0034518F" w:rsidRPr="00DF487C" w:rsidRDefault="0034518F" w:rsidP="00913D4E">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proofErr w:type="spellStart"/>
            <w:r w:rsidRPr="00DF487C">
              <w:rPr>
                <w:rFonts w:ascii="Arial" w:hAnsi="Arial" w:cs="Arial"/>
                <w:color w:val="000000"/>
                <w:sz w:val="20"/>
                <w:szCs w:val="20"/>
              </w:rPr>
              <w:t>xenophagy</w:t>
            </w:r>
            <w:proofErr w:type="spellEnd"/>
          </w:p>
        </w:tc>
        <w:tc>
          <w:tcPr>
            <w:tcW w:w="128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25</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7.41E-07</w:t>
            </w:r>
          </w:p>
        </w:tc>
        <w:tc>
          <w:tcPr>
            <w:tcW w:w="1383"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9.57E-03</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3.83E-04</w:t>
            </w:r>
          </w:p>
        </w:tc>
        <w:tc>
          <w:tcPr>
            <w:tcW w:w="1427"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5.79</w:t>
            </w:r>
          </w:p>
        </w:tc>
        <w:tc>
          <w:tcPr>
            <w:tcW w:w="1363"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13</w:t>
            </w:r>
          </w:p>
        </w:tc>
        <w:tc>
          <w:tcPr>
            <w:tcW w:w="153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0.86</w:t>
            </w:r>
          </w:p>
        </w:tc>
        <w:tc>
          <w:tcPr>
            <w:tcW w:w="126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w:t>
            </w:r>
          </w:p>
        </w:tc>
      </w:tr>
      <w:tr w:rsidR="0034518F" w:rsidRPr="00DF487C" w:rsidTr="00913D4E">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rPr>
                <w:rFonts w:ascii="Arial" w:hAnsi="Arial" w:cs="Arial"/>
                <w:color w:val="000000"/>
                <w:sz w:val="20"/>
                <w:szCs w:val="20"/>
              </w:rPr>
            </w:pPr>
            <w:r w:rsidRPr="00DF487C">
              <w:rPr>
                <w:rFonts w:ascii="Arial" w:hAnsi="Arial" w:cs="Arial"/>
                <w:color w:val="000000"/>
                <w:sz w:val="20"/>
                <w:szCs w:val="20"/>
              </w:rPr>
              <w:t>GO:0046629</w:t>
            </w:r>
          </w:p>
        </w:tc>
        <w:tc>
          <w:tcPr>
            <w:tcW w:w="1931" w:type="dxa"/>
          </w:tcPr>
          <w:p w:rsidR="0034518F" w:rsidRPr="00DF487C" w:rsidRDefault="0034518F" w:rsidP="00913D4E">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gamma-delta T cell activation</w:t>
            </w:r>
          </w:p>
        </w:tc>
        <w:tc>
          <w:tcPr>
            <w:tcW w:w="128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26</w:t>
            </w:r>
          </w:p>
        </w:tc>
        <w:tc>
          <w:tcPr>
            <w:tcW w:w="1369"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7.53E-07</w:t>
            </w:r>
          </w:p>
        </w:tc>
        <w:tc>
          <w:tcPr>
            <w:tcW w:w="1383"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9.72E-03</w:t>
            </w:r>
          </w:p>
        </w:tc>
        <w:tc>
          <w:tcPr>
            <w:tcW w:w="1369"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3.74E-04</w:t>
            </w:r>
          </w:p>
        </w:tc>
        <w:tc>
          <w:tcPr>
            <w:tcW w:w="1427"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3.30</w:t>
            </w:r>
          </w:p>
        </w:tc>
        <w:tc>
          <w:tcPr>
            <w:tcW w:w="1363"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24</w:t>
            </w:r>
          </w:p>
        </w:tc>
        <w:tc>
          <w:tcPr>
            <w:tcW w:w="153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1.15</w:t>
            </w:r>
          </w:p>
        </w:tc>
        <w:tc>
          <w:tcPr>
            <w:tcW w:w="126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w:t>
            </w:r>
          </w:p>
        </w:tc>
      </w:tr>
      <w:tr w:rsidR="0034518F" w:rsidRPr="00DF487C" w:rsidTr="00913D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rPr>
                <w:rFonts w:ascii="Arial" w:hAnsi="Arial" w:cs="Arial"/>
                <w:color w:val="000000"/>
                <w:sz w:val="20"/>
                <w:szCs w:val="20"/>
              </w:rPr>
            </w:pPr>
            <w:r w:rsidRPr="00DF487C">
              <w:rPr>
                <w:rFonts w:ascii="Arial" w:hAnsi="Arial" w:cs="Arial"/>
                <w:color w:val="000000"/>
                <w:sz w:val="20"/>
                <w:szCs w:val="20"/>
              </w:rPr>
              <w:t>GO:1904293</w:t>
            </w:r>
          </w:p>
        </w:tc>
        <w:tc>
          <w:tcPr>
            <w:tcW w:w="1931" w:type="dxa"/>
          </w:tcPr>
          <w:p w:rsidR="0034518F" w:rsidRPr="00DF487C" w:rsidRDefault="0034518F" w:rsidP="00913D4E">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negative regulation of ERAD pathway</w:t>
            </w:r>
          </w:p>
        </w:tc>
        <w:tc>
          <w:tcPr>
            <w:tcW w:w="128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27</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8.32E-07</w:t>
            </w:r>
          </w:p>
        </w:tc>
        <w:tc>
          <w:tcPr>
            <w:tcW w:w="1383"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1.07E-02</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3.98E-04</w:t>
            </w:r>
          </w:p>
        </w:tc>
        <w:tc>
          <w:tcPr>
            <w:tcW w:w="1427"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2.43</w:t>
            </w:r>
          </w:p>
        </w:tc>
        <w:tc>
          <w:tcPr>
            <w:tcW w:w="1363"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39</w:t>
            </w:r>
          </w:p>
        </w:tc>
        <w:tc>
          <w:tcPr>
            <w:tcW w:w="153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0.80</w:t>
            </w:r>
          </w:p>
        </w:tc>
        <w:tc>
          <w:tcPr>
            <w:tcW w:w="126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w:t>
            </w:r>
          </w:p>
        </w:tc>
      </w:tr>
      <w:tr w:rsidR="0034518F" w:rsidRPr="00DF487C" w:rsidTr="00913D4E">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rPr>
                <w:rFonts w:ascii="Arial" w:hAnsi="Arial" w:cs="Arial"/>
                <w:color w:val="000000"/>
                <w:sz w:val="20"/>
                <w:szCs w:val="20"/>
              </w:rPr>
            </w:pPr>
            <w:r w:rsidRPr="00DF487C">
              <w:rPr>
                <w:rFonts w:ascii="Arial" w:hAnsi="Arial" w:cs="Arial"/>
                <w:color w:val="000000"/>
                <w:sz w:val="20"/>
                <w:szCs w:val="20"/>
              </w:rPr>
              <w:t>GO:0052652</w:t>
            </w:r>
          </w:p>
        </w:tc>
        <w:tc>
          <w:tcPr>
            <w:tcW w:w="1931" w:type="dxa"/>
          </w:tcPr>
          <w:p w:rsidR="0034518F" w:rsidRPr="00DF487C" w:rsidRDefault="0034518F" w:rsidP="00913D4E">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cyclic purine nucleotide metabolic process</w:t>
            </w:r>
          </w:p>
        </w:tc>
        <w:tc>
          <w:tcPr>
            <w:tcW w:w="128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28</w:t>
            </w:r>
          </w:p>
        </w:tc>
        <w:tc>
          <w:tcPr>
            <w:tcW w:w="1369"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1.19E-06</w:t>
            </w:r>
          </w:p>
        </w:tc>
        <w:tc>
          <w:tcPr>
            <w:tcW w:w="1383"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1.53E-02</w:t>
            </w:r>
          </w:p>
        </w:tc>
        <w:tc>
          <w:tcPr>
            <w:tcW w:w="1369"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5.47E-04</w:t>
            </w:r>
          </w:p>
        </w:tc>
        <w:tc>
          <w:tcPr>
            <w:tcW w:w="1427"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1.89</w:t>
            </w:r>
          </w:p>
        </w:tc>
        <w:tc>
          <w:tcPr>
            <w:tcW w:w="1363"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68</w:t>
            </w:r>
          </w:p>
        </w:tc>
        <w:tc>
          <w:tcPr>
            <w:tcW w:w="153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1.08</w:t>
            </w:r>
          </w:p>
        </w:tc>
        <w:tc>
          <w:tcPr>
            <w:tcW w:w="126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10</w:t>
            </w:r>
          </w:p>
        </w:tc>
      </w:tr>
      <w:tr w:rsidR="0034518F" w:rsidRPr="00DF487C" w:rsidTr="00913D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rPr>
                <w:rFonts w:ascii="Arial" w:hAnsi="Arial" w:cs="Arial"/>
                <w:color w:val="000000"/>
                <w:sz w:val="20"/>
                <w:szCs w:val="20"/>
              </w:rPr>
            </w:pPr>
            <w:r w:rsidRPr="00DF487C">
              <w:rPr>
                <w:rFonts w:ascii="Arial" w:hAnsi="Arial" w:cs="Arial"/>
                <w:color w:val="000000"/>
                <w:sz w:val="20"/>
                <w:szCs w:val="20"/>
              </w:rPr>
              <w:t>GO:1900371</w:t>
            </w:r>
          </w:p>
        </w:tc>
        <w:tc>
          <w:tcPr>
            <w:tcW w:w="1931" w:type="dxa"/>
          </w:tcPr>
          <w:p w:rsidR="0034518F" w:rsidRPr="00DF487C" w:rsidRDefault="0034518F" w:rsidP="00913D4E">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regulation of purine nucleotide biosynthetic process</w:t>
            </w:r>
          </w:p>
        </w:tc>
        <w:tc>
          <w:tcPr>
            <w:tcW w:w="128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29</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1.19E-06</w:t>
            </w:r>
          </w:p>
        </w:tc>
        <w:tc>
          <w:tcPr>
            <w:tcW w:w="1383"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1.54E-02</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5.30E-04</w:t>
            </w:r>
          </w:p>
        </w:tc>
        <w:tc>
          <w:tcPr>
            <w:tcW w:w="1427"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1.36</w:t>
            </w:r>
          </w:p>
        </w:tc>
        <w:tc>
          <w:tcPr>
            <w:tcW w:w="1363"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260</w:t>
            </w:r>
          </w:p>
        </w:tc>
        <w:tc>
          <w:tcPr>
            <w:tcW w:w="153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1.47</w:t>
            </w:r>
          </w:p>
        </w:tc>
        <w:tc>
          <w:tcPr>
            <w:tcW w:w="126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67</w:t>
            </w:r>
          </w:p>
        </w:tc>
      </w:tr>
      <w:tr w:rsidR="0034518F" w:rsidRPr="00DF487C" w:rsidTr="00913D4E">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rPr>
                <w:rFonts w:ascii="Arial" w:hAnsi="Arial" w:cs="Arial"/>
                <w:color w:val="000000"/>
                <w:sz w:val="20"/>
                <w:szCs w:val="20"/>
              </w:rPr>
            </w:pPr>
            <w:r w:rsidRPr="00DF487C">
              <w:rPr>
                <w:rFonts w:ascii="Arial" w:hAnsi="Arial" w:cs="Arial"/>
                <w:color w:val="000000"/>
                <w:sz w:val="20"/>
                <w:szCs w:val="20"/>
              </w:rPr>
              <w:t>GO:0006538</w:t>
            </w:r>
          </w:p>
        </w:tc>
        <w:tc>
          <w:tcPr>
            <w:tcW w:w="1931" w:type="dxa"/>
          </w:tcPr>
          <w:p w:rsidR="0034518F" w:rsidRPr="00DF487C" w:rsidRDefault="0034518F" w:rsidP="00913D4E">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glutamate catabolic process</w:t>
            </w:r>
          </w:p>
        </w:tc>
        <w:tc>
          <w:tcPr>
            <w:tcW w:w="128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30</w:t>
            </w:r>
          </w:p>
        </w:tc>
        <w:tc>
          <w:tcPr>
            <w:tcW w:w="1369"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1.22E-06</w:t>
            </w:r>
          </w:p>
        </w:tc>
        <w:tc>
          <w:tcPr>
            <w:tcW w:w="1383"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1.58E-02</w:t>
            </w:r>
          </w:p>
        </w:tc>
        <w:tc>
          <w:tcPr>
            <w:tcW w:w="1369"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5.26E-04</w:t>
            </w:r>
          </w:p>
        </w:tc>
        <w:tc>
          <w:tcPr>
            <w:tcW w:w="1427"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2.28</w:t>
            </w:r>
          </w:p>
        </w:tc>
        <w:tc>
          <w:tcPr>
            <w:tcW w:w="1363"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43</w:t>
            </w:r>
          </w:p>
        </w:tc>
        <w:tc>
          <w:tcPr>
            <w:tcW w:w="153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1.72</w:t>
            </w:r>
          </w:p>
        </w:tc>
        <w:tc>
          <w:tcPr>
            <w:tcW w:w="126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w:t>
            </w:r>
          </w:p>
        </w:tc>
      </w:tr>
      <w:tr w:rsidR="0034518F" w:rsidRPr="00DF487C" w:rsidTr="00913D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rPr>
                <w:rFonts w:ascii="Arial" w:hAnsi="Arial" w:cs="Arial"/>
                <w:color w:val="000000"/>
                <w:sz w:val="20"/>
                <w:szCs w:val="20"/>
              </w:rPr>
            </w:pPr>
            <w:r w:rsidRPr="00DF487C">
              <w:rPr>
                <w:rFonts w:ascii="Arial" w:hAnsi="Arial" w:cs="Arial"/>
                <w:color w:val="000000"/>
                <w:sz w:val="20"/>
                <w:szCs w:val="20"/>
              </w:rPr>
              <w:t>GO:0009190</w:t>
            </w:r>
          </w:p>
        </w:tc>
        <w:tc>
          <w:tcPr>
            <w:tcW w:w="1931" w:type="dxa"/>
          </w:tcPr>
          <w:p w:rsidR="0034518F" w:rsidRPr="00DF487C" w:rsidRDefault="0034518F" w:rsidP="00913D4E">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cyclic nucleotide biosynthetic process</w:t>
            </w:r>
          </w:p>
        </w:tc>
        <w:tc>
          <w:tcPr>
            <w:tcW w:w="128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31</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1.41E-06</w:t>
            </w:r>
          </w:p>
        </w:tc>
        <w:tc>
          <w:tcPr>
            <w:tcW w:w="1383"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1.82E-02</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5.86E-04</w:t>
            </w:r>
          </w:p>
        </w:tc>
        <w:tc>
          <w:tcPr>
            <w:tcW w:w="1427"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1.88</w:t>
            </w:r>
          </w:p>
        </w:tc>
        <w:tc>
          <w:tcPr>
            <w:tcW w:w="1363"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68</w:t>
            </w:r>
          </w:p>
        </w:tc>
        <w:tc>
          <w:tcPr>
            <w:tcW w:w="153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1.05</w:t>
            </w:r>
          </w:p>
        </w:tc>
        <w:tc>
          <w:tcPr>
            <w:tcW w:w="126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10</w:t>
            </w:r>
          </w:p>
        </w:tc>
      </w:tr>
      <w:tr w:rsidR="0034518F" w:rsidRPr="00DF487C" w:rsidTr="00913D4E">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rPr>
                <w:rFonts w:ascii="Arial" w:hAnsi="Arial" w:cs="Arial"/>
                <w:color w:val="000000"/>
                <w:sz w:val="20"/>
                <w:szCs w:val="20"/>
              </w:rPr>
            </w:pPr>
            <w:r w:rsidRPr="00DF487C">
              <w:rPr>
                <w:rFonts w:ascii="Arial" w:hAnsi="Arial" w:cs="Arial"/>
                <w:color w:val="000000"/>
                <w:sz w:val="20"/>
                <w:szCs w:val="20"/>
              </w:rPr>
              <w:lastRenderedPageBreak/>
              <w:t>GO:0051962</w:t>
            </w:r>
          </w:p>
        </w:tc>
        <w:tc>
          <w:tcPr>
            <w:tcW w:w="1931" w:type="dxa"/>
          </w:tcPr>
          <w:p w:rsidR="0034518F" w:rsidRPr="00DF487C" w:rsidRDefault="0034518F" w:rsidP="00913D4E">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u w:val="single"/>
              </w:rPr>
            </w:pPr>
            <w:r w:rsidRPr="00DF487C">
              <w:rPr>
                <w:rFonts w:ascii="Arial" w:hAnsi="Arial" w:cs="Arial"/>
                <w:color w:val="000000"/>
                <w:sz w:val="20"/>
                <w:szCs w:val="20"/>
                <w:u w:val="single"/>
              </w:rPr>
              <w:t>positive regulation of nervous system development</w:t>
            </w:r>
          </w:p>
        </w:tc>
        <w:tc>
          <w:tcPr>
            <w:tcW w:w="128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32</w:t>
            </w:r>
          </w:p>
        </w:tc>
        <w:tc>
          <w:tcPr>
            <w:tcW w:w="1369"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1.47E-06</w:t>
            </w:r>
          </w:p>
        </w:tc>
        <w:tc>
          <w:tcPr>
            <w:tcW w:w="1383"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1.90E-02</w:t>
            </w:r>
          </w:p>
        </w:tc>
        <w:tc>
          <w:tcPr>
            <w:tcW w:w="1369"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5.95E-04</w:t>
            </w:r>
          </w:p>
        </w:tc>
        <w:tc>
          <w:tcPr>
            <w:tcW w:w="1427"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1.16</w:t>
            </w:r>
          </w:p>
        </w:tc>
        <w:tc>
          <w:tcPr>
            <w:tcW w:w="1363"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sz w:val="20"/>
                <w:szCs w:val="20"/>
              </w:rPr>
            </w:pPr>
            <w:r w:rsidRPr="00DF487C">
              <w:rPr>
                <w:rFonts w:ascii="Arial" w:hAnsi="Arial" w:cs="Arial"/>
                <w:bCs/>
                <w:color w:val="000000"/>
                <w:sz w:val="20"/>
                <w:szCs w:val="20"/>
              </w:rPr>
              <w:t>983</w:t>
            </w:r>
          </w:p>
        </w:tc>
        <w:tc>
          <w:tcPr>
            <w:tcW w:w="153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1.50</w:t>
            </w:r>
          </w:p>
        </w:tc>
        <w:tc>
          <w:tcPr>
            <w:tcW w:w="126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sz w:val="20"/>
                <w:szCs w:val="20"/>
              </w:rPr>
            </w:pPr>
            <w:r w:rsidRPr="00DF487C">
              <w:rPr>
                <w:rFonts w:ascii="Arial" w:hAnsi="Arial" w:cs="Arial"/>
                <w:bCs/>
                <w:color w:val="000000"/>
                <w:sz w:val="20"/>
                <w:szCs w:val="20"/>
              </w:rPr>
              <w:t>204</w:t>
            </w:r>
          </w:p>
        </w:tc>
      </w:tr>
      <w:tr w:rsidR="0034518F" w:rsidRPr="00DF487C" w:rsidTr="00913D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rPr>
                <w:rFonts w:ascii="Arial" w:hAnsi="Arial" w:cs="Arial"/>
                <w:b w:val="0"/>
                <w:bCs w:val="0"/>
                <w:color w:val="000000"/>
                <w:sz w:val="20"/>
                <w:szCs w:val="20"/>
              </w:rPr>
            </w:pPr>
            <w:r w:rsidRPr="00DF487C">
              <w:rPr>
                <w:rFonts w:ascii="Arial" w:hAnsi="Arial" w:cs="Arial"/>
                <w:color w:val="000000"/>
                <w:sz w:val="20"/>
                <w:szCs w:val="20"/>
              </w:rPr>
              <w:t>GO:0030808</w:t>
            </w:r>
          </w:p>
        </w:tc>
        <w:tc>
          <w:tcPr>
            <w:tcW w:w="1931" w:type="dxa"/>
          </w:tcPr>
          <w:p w:rsidR="0034518F" w:rsidRPr="00DF487C" w:rsidRDefault="0034518F" w:rsidP="00913D4E">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regulation of nucleotide biosynthetic process</w:t>
            </w:r>
          </w:p>
        </w:tc>
        <w:tc>
          <w:tcPr>
            <w:tcW w:w="128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33</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1.48E-06</w:t>
            </w:r>
          </w:p>
        </w:tc>
        <w:tc>
          <w:tcPr>
            <w:tcW w:w="1383"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1.91E-02</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5.78E-04</w:t>
            </w:r>
          </w:p>
        </w:tc>
        <w:tc>
          <w:tcPr>
            <w:tcW w:w="1427"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1.35</w:t>
            </w:r>
          </w:p>
        </w:tc>
        <w:tc>
          <w:tcPr>
            <w:tcW w:w="1363"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260</w:t>
            </w:r>
          </w:p>
        </w:tc>
        <w:tc>
          <w:tcPr>
            <w:tcW w:w="153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1.46</w:t>
            </w:r>
          </w:p>
        </w:tc>
        <w:tc>
          <w:tcPr>
            <w:tcW w:w="126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67</w:t>
            </w:r>
          </w:p>
        </w:tc>
      </w:tr>
      <w:tr w:rsidR="0034518F" w:rsidRPr="00DF487C" w:rsidTr="00913D4E">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rPr>
                <w:rFonts w:ascii="Arial" w:hAnsi="Arial" w:cs="Arial"/>
                <w:color w:val="000000"/>
                <w:sz w:val="20"/>
                <w:szCs w:val="20"/>
              </w:rPr>
            </w:pPr>
            <w:r w:rsidRPr="00DF487C">
              <w:rPr>
                <w:rFonts w:ascii="Arial" w:hAnsi="Arial" w:cs="Arial"/>
                <w:color w:val="000000"/>
                <w:sz w:val="20"/>
                <w:szCs w:val="20"/>
              </w:rPr>
              <w:t>GO:0097105</w:t>
            </w:r>
          </w:p>
        </w:tc>
        <w:tc>
          <w:tcPr>
            <w:tcW w:w="1931" w:type="dxa"/>
          </w:tcPr>
          <w:p w:rsidR="0034518F" w:rsidRPr="00DF487C" w:rsidRDefault="0034518F" w:rsidP="00913D4E">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u w:val="single"/>
              </w:rPr>
            </w:pPr>
            <w:r w:rsidRPr="00DF487C">
              <w:rPr>
                <w:rFonts w:ascii="Arial" w:hAnsi="Arial" w:cs="Arial"/>
                <w:color w:val="000000"/>
                <w:sz w:val="20"/>
                <w:szCs w:val="20"/>
                <w:u w:val="single"/>
              </w:rPr>
              <w:t>presynaptic membrane assembly</w:t>
            </w:r>
          </w:p>
        </w:tc>
        <w:tc>
          <w:tcPr>
            <w:tcW w:w="128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34</w:t>
            </w:r>
          </w:p>
        </w:tc>
        <w:tc>
          <w:tcPr>
            <w:tcW w:w="1369"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1.95E-06</w:t>
            </w:r>
          </w:p>
        </w:tc>
        <w:tc>
          <w:tcPr>
            <w:tcW w:w="1383"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2.52E-02</w:t>
            </w:r>
          </w:p>
        </w:tc>
        <w:tc>
          <w:tcPr>
            <w:tcW w:w="1369"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7.42E-04</w:t>
            </w:r>
          </w:p>
        </w:tc>
        <w:tc>
          <w:tcPr>
            <w:tcW w:w="1427"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1.79</w:t>
            </w:r>
          </w:p>
        </w:tc>
        <w:tc>
          <w:tcPr>
            <w:tcW w:w="1363"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77</w:t>
            </w:r>
          </w:p>
        </w:tc>
        <w:tc>
          <w:tcPr>
            <w:tcW w:w="153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1.92</w:t>
            </w:r>
          </w:p>
        </w:tc>
        <w:tc>
          <w:tcPr>
            <w:tcW w:w="126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w:t>
            </w:r>
          </w:p>
        </w:tc>
      </w:tr>
      <w:tr w:rsidR="0034518F" w:rsidRPr="00DF487C" w:rsidTr="00913D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rPr>
                <w:rFonts w:ascii="Arial" w:hAnsi="Arial" w:cs="Arial"/>
                <w:color w:val="000000"/>
                <w:sz w:val="20"/>
                <w:szCs w:val="20"/>
              </w:rPr>
            </w:pPr>
            <w:r w:rsidRPr="00DF487C">
              <w:rPr>
                <w:rFonts w:ascii="Arial" w:hAnsi="Arial" w:cs="Arial"/>
                <w:color w:val="000000"/>
                <w:sz w:val="20"/>
                <w:szCs w:val="20"/>
              </w:rPr>
              <w:t>GO:0051095</w:t>
            </w:r>
          </w:p>
        </w:tc>
        <w:tc>
          <w:tcPr>
            <w:tcW w:w="1931" w:type="dxa"/>
          </w:tcPr>
          <w:p w:rsidR="0034518F" w:rsidRPr="00DF487C" w:rsidRDefault="0034518F" w:rsidP="00913D4E">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regulation of helicase activity</w:t>
            </w:r>
          </w:p>
        </w:tc>
        <w:tc>
          <w:tcPr>
            <w:tcW w:w="128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35</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2.02E-06</w:t>
            </w:r>
          </w:p>
        </w:tc>
        <w:tc>
          <w:tcPr>
            <w:tcW w:w="1383"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2.61E-02</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7.47E-04</w:t>
            </w:r>
          </w:p>
        </w:tc>
        <w:tc>
          <w:tcPr>
            <w:tcW w:w="1427"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2.88</w:t>
            </w:r>
          </w:p>
        </w:tc>
        <w:tc>
          <w:tcPr>
            <w:tcW w:w="1363"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27</w:t>
            </w:r>
          </w:p>
        </w:tc>
        <w:tc>
          <w:tcPr>
            <w:tcW w:w="153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0.77</w:t>
            </w:r>
          </w:p>
        </w:tc>
        <w:tc>
          <w:tcPr>
            <w:tcW w:w="126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w:t>
            </w:r>
          </w:p>
        </w:tc>
      </w:tr>
      <w:tr w:rsidR="0034518F" w:rsidRPr="00DF487C" w:rsidTr="00913D4E">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rPr>
                <w:rFonts w:ascii="Arial" w:hAnsi="Arial" w:cs="Arial"/>
                <w:color w:val="000000"/>
                <w:sz w:val="20"/>
                <w:szCs w:val="20"/>
              </w:rPr>
            </w:pPr>
            <w:r w:rsidRPr="00DF487C">
              <w:rPr>
                <w:rFonts w:ascii="Arial" w:hAnsi="Arial" w:cs="Arial"/>
                <w:color w:val="000000"/>
                <w:sz w:val="20"/>
                <w:szCs w:val="20"/>
              </w:rPr>
              <w:t>GO:0034332</w:t>
            </w:r>
          </w:p>
        </w:tc>
        <w:tc>
          <w:tcPr>
            <w:tcW w:w="1931" w:type="dxa"/>
          </w:tcPr>
          <w:p w:rsidR="0034518F" w:rsidRPr="00DF487C" w:rsidRDefault="0034518F" w:rsidP="00913D4E">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proofErr w:type="spellStart"/>
            <w:r w:rsidRPr="00DF487C">
              <w:rPr>
                <w:rFonts w:ascii="Arial" w:hAnsi="Arial" w:cs="Arial"/>
                <w:color w:val="000000"/>
                <w:sz w:val="20"/>
                <w:szCs w:val="20"/>
              </w:rPr>
              <w:t>adherens</w:t>
            </w:r>
            <w:proofErr w:type="spellEnd"/>
            <w:r w:rsidRPr="00DF487C">
              <w:rPr>
                <w:rFonts w:ascii="Arial" w:hAnsi="Arial" w:cs="Arial"/>
                <w:color w:val="000000"/>
                <w:sz w:val="20"/>
                <w:szCs w:val="20"/>
              </w:rPr>
              <w:t xml:space="preserve"> junction organization</w:t>
            </w:r>
          </w:p>
        </w:tc>
        <w:tc>
          <w:tcPr>
            <w:tcW w:w="128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36</w:t>
            </w:r>
          </w:p>
        </w:tc>
        <w:tc>
          <w:tcPr>
            <w:tcW w:w="1369"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2.45E-06</w:t>
            </w:r>
          </w:p>
        </w:tc>
        <w:tc>
          <w:tcPr>
            <w:tcW w:w="1383"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3.17E-02</w:t>
            </w:r>
          </w:p>
        </w:tc>
        <w:tc>
          <w:tcPr>
            <w:tcW w:w="1369"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8.81E-04</w:t>
            </w:r>
          </w:p>
        </w:tc>
        <w:tc>
          <w:tcPr>
            <w:tcW w:w="1427"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1.39</w:t>
            </w:r>
          </w:p>
        </w:tc>
        <w:tc>
          <w:tcPr>
            <w:tcW w:w="1363"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216</w:t>
            </w:r>
          </w:p>
        </w:tc>
        <w:tc>
          <w:tcPr>
            <w:tcW w:w="153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1.39</w:t>
            </w:r>
          </w:p>
        </w:tc>
        <w:tc>
          <w:tcPr>
            <w:tcW w:w="126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29</w:t>
            </w:r>
          </w:p>
        </w:tc>
      </w:tr>
      <w:tr w:rsidR="0034518F" w:rsidRPr="00DF487C" w:rsidTr="00913D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rPr>
                <w:rFonts w:ascii="Arial" w:hAnsi="Arial" w:cs="Arial"/>
                <w:color w:val="000000"/>
                <w:sz w:val="20"/>
                <w:szCs w:val="20"/>
              </w:rPr>
            </w:pPr>
            <w:r w:rsidRPr="00DF487C">
              <w:rPr>
                <w:rFonts w:ascii="Arial" w:hAnsi="Arial" w:cs="Arial"/>
                <w:color w:val="000000"/>
                <w:sz w:val="20"/>
                <w:szCs w:val="20"/>
              </w:rPr>
              <w:t>GO:0007158</w:t>
            </w:r>
          </w:p>
        </w:tc>
        <w:tc>
          <w:tcPr>
            <w:tcW w:w="1931" w:type="dxa"/>
          </w:tcPr>
          <w:p w:rsidR="0034518F" w:rsidRPr="00DF487C" w:rsidRDefault="0034518F" w:rsidP="00913D4E">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u w:val="single"/>
              </w:rPr>
            </w:pPr>
            <w:r w:rsidRPr="00DF487C">
              <w:rPr>
                <w:rFonts w:ascii="Arial" w:hAnsi="Arial" w:cs="Arial"/>
                <w:color w:val="000000"/>
                <w:sz w:val="20"/>
                <w:szCs w:val="20"/>
                <w:u w:val="single"/>
              </w:rPr>
              <w:t>neuron cell-cell adhesion</w:t>
            </w:r>
          </w:p>
        </w:tc>
        <w:tc>
          <w:tcPr>
            <w:tcW w:w="128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37</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2.60E-06</w:t>
            </w:r>
          </w:p>
        </w:tc>
        <w:tc>
          <w:tcPr>
            <w:tcW w:w="1383"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3.36E-02</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9.09E-04</w:t>
            </w:r>
          </w:p>
        </w:tc>
        <w:tc>
          <w:tcPr>
            <w:tcW w:w="1427"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1.61</w:t>
            </w:r>
          </w:p>
        </w:tc>
        <w:tc>
          <w:tcPr>
            <w:tcW w:w="1363"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20"/>
                <w:szCs w:val="20"/>
              </w:rPr>
            </w:pPr>
            <w:r w:rsidRPr="00DF487C">
              <w:rPr>
                <w:rFonts w:ascii="Arial" w:hAnsi="Arial" w:cs="Arial"/>
                <w:bCs/>
                <w:color w:val="000000"/>
                <w:sz w:val="20"/>
                <w:szCs w:val="20"/>
              </w:rPr>
              <w:t>106</w:t>
            </w:r>
          </w:p>
        </w:tc>
        <w:tc>
          <w:tcPr>
            <w:tcW w:w="153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2.30</w:t>
            </w:r>
          </w:p>
        </w:tc>
        <w:tc>
          <w:tcPr>
            <w:tcW w:w="126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20"/>
                <w:szCs w:val="20"/>
              </w:rPr>
            </w:pPr>
            <w:r w:rsidRPr="00DF487C">
              <w:rPr>
                <w:rFonts w:ascii="Arial" w:hAnsi="Arial" w:cs="Arial"/>
                <w:bCs/>
                <w:color w:val="000000"/>
                <w:sz w:val="20"/>
                <w:szCs w:val="20"/>
              </w:rPr>
              <w:t>10</w:t>
            </w:r>
          </w:p>
        </w:tc>
      </w:tr>
      <w:tr w:rsidR="0034518F" w:rsidRPr="00DF487C" w:rsidTr="00913D4E">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rPr>
                <w:rFonts w:ascii="Arial" w:hAnsi="Arial" w:cs="Arial"/>
                <w:b w:val="0"/>
                <w:bCs w:val="0"/>
                <w:color w:val="000000"/>
                <w:sz w:val="20"/>
                <w:szCs w:val="20"/>
              </w:rPr>
            </w:pPr>
            <w:r w:rsidRPr="00DF487C">
              <w:rPr>
                <w:rFonts w:ascii="Arial" w:hAnsi="Arial" w:cs="Arial"/>
                <w:color w:val="000000"/>
                <w:sz w:val="20"/>
                <w:szCs w:val="20"/>
              </w:rPr>
              <w:t>GO:0045409</w:t>
            </w:r>
          </w:p>
        </w:tc>
        <w:tc>
          <w:tcPr>
            <w:tcW w:w="1931" w:type="dxa"/>
          </w:tcPr>
          <w:p w:rsidR="0034518F" w:rsidRPr="00DF487C" w:rsidRDefault="0034518F" w:rsidP="00913D4E">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negative regulation of interleukin-6 biosynthetic process</w:t>
            </w:r>
          </w:p>
        </w:tc>
        <w:tc>
          <w:tcPr>
            <w:tcW w:w="128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38</w:t>
            </w:r>
          </w:p>
        </w:tc>
        <w:tc>
          <w:tcPr>
            <w:tcW w:w="1369"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2.87E-06</w:t>
            </w:r>
          </w:p>
        </w:tc>
        <w:tc>
          <w:tcPr>
            <w:tcW w:w="1383"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3.70E-02</w:t>
            </w:r>
          </w:p>
        </w:tc>
        <w:tc>
          <w:tcPr>
            <w:tcW w:w="1369"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9.75E-04</w:t>
            </w:r>
          </w:p>
        </w:tc>
        <w:tc>
          <w:tcPr>
            <w:tcW w:w="1427"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4.43</w:t>
            </w:r>
          </w:p>
        </w:tc>
        <w:tc>
          <w:tcPr>
            <w:tcW w:w="1363"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15</w:t>
            </w:r>
          </w:p>
        </w:tc>
        <w:tc>
          <w:tcPr>
            <w:tcW w:w="153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2.07</w:t>
            </w:r>
          </w:p>
        </w:tc>
        <w:tc>
          <w:tcPr>
            <w:tcW w:w="126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w:t>
            </w:r>
          </w:p>
        </w:tc>
      </w:tr>
      <w:tr w:rsidR="0034518F" w:rsidRPr="00DF487C" w:rsidTr="00913D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rPr>
                <w:rFonts w:ascii="Arial" w:hAnsi="Arial" w:cs="Arial"/>
                <w:color w:val="000000"/>
                <w:sz w:val="20"/>
                <w:szCs w:val="20"/>
              </w:rPr>
            </w:pPr>
            <w:r w:rsidRPr="00DF487C">
              <w:rPr>
                <w:rFonts w:ascii="Arial" w:hAnsi="Arial" w:cs="Arial"/>
                <w:color w:val="000000"/>
                <w:sz w:val="20"/>
                <w:szCs w:val="20"/>
              </w:rPr>
              <w:t>GO:0010838</w:t>
            </w:r>
          </w:p>
        </w:tc>
        <w:tc>
          <w:tcPr>
            <w:tcW w:w="1931" w:type="dxa"/>
          </w:tcPr>
          <w:p w:rsidR="0034518F" w:rsidRPr="00DF487C" w:rsidRDefault="0034518F" w:rsidP="00913D4E">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positive regulation of keratinocyte proliferation</w:t>
            </w:r>
          </w:p>
        </w:tc>
        <w:tc>
          <w:tcPr>
            <w:tcW w:w="128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39</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3.44E-06</w:t>
            </w:r>
          </w:p>
        </w:tc>
        <w:tc>
          <w:tcPr>
            <w:tcW w:w="1383"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4.44E-02</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1.14E-03</w:t>
            </w:r>
          </w:p>
        </w:tc>
        <w:tc>
          <w:tcPr>
            <w:tcW w:w="1427"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2.11</w:t>
            </w:r>
          </w:p>
        </w:tc>
        <w:tc>
          <w:tcPr>
            <w:tcW w:w="1363"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47</w:t>
            </w:r>
          </w:p>
        </w:tc>
        <w:tc>
          <w:tcPr>
            <w:tcW w:w="153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2.30</w:t>
            </w:r>
          </w:p>
        </w:tc>
        <w:tc>
          <w:tcPr>
            <w:tcW w:w="126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w:t>
            </w:r>
          </w:p>
        </w:tc>
      </w:tr>
      <w:tr w:rsidR="0034518F" w:rsidRPr="00DF487C" w:rsidTr="00913D4E">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rPr>
                <w:rFonts w:ascii="Arial" w:hAnsi="Arial" w:cs="Arial"/>
                <w:color w:val="000000"/>
                <w:sz w:val="20"/>
                <w:szCs w:val="20"/>
              </w:rPr>
            </w:pPr>
            <w:r w:rsidRPr="00DF487C">
              <w:rPr>
                <w:rFonts w:ascii="Arial" w:hAnsi="Arial" w:cs="Arial"/>
                <w:color w:val="000000"/>
                <w:sz w:val="20"/>
                <w:szCs w:val="20"/>
              </w:rPr>
              <w:t>GO:0097090</w:t>
            </w:r>
          </w:p>
        </w:tc>
        <w:tc>
          <w:tcPr>
            <w:tcW w:w="1931" w:type="dxa"/>
          </w:tcPr>
          <w:p w:rsidR="0034518F" w:rsidRPr="00DF487C" w:rsidRDefault="0034518F" w:rsidP="00913D4E">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u w:val="single"/>
              </w:rPr>
            </w:pPr>
            <w:r w:rsidRPr="00DF487C">
              <w:rPr>
                <w:rFonts w:ascii="Arial" w:hAnsi="Arial" w:cs="Arial"/>
                <w:color w:val="000000"/>
                <w:sz w:val="20"/>
                <w:szCs w:val="20"/>
                <w:u w:val="single"/>
              </w:rPr>
              <w:t>presynaptic membrane organization</w:t>
            </w:r>
          </w:p>
        </w:tc>
        <w:tc>
          <w:tcPr>
            <w:tcW w:w="128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40</w:t>
            </w:r>
          </w:p>
        </w:tc>
        <w:tc>
          <w:tcPr>
            <w:tcW w:w="1369"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3.60E-06</w:t>
            </w:r>
          </w:p>
        </w:tc>
        <w:tc>
          <w:tcPr>
            <w:tcW w:w="1383"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4.65E-02</w:t>
            </w:r>
          </w:p>
        </w:tc>
        <w:tc>
          <w:tcPr>
            <w:tcW w:w="1369"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1.16E-03</w:t>
            </w:r>
          </w:p>
        </w:tc>
        <w:tc>
          <w:tcPr>
            <w:tcW w:w="1427"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1.76</w:t>
            </w:r>
          </w:p>
        </w:tc>
        <w:tc>
          <w:tcPr>
            <w:tcW w:w="1363"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77</w:t>
            </w:r>
          </w:p>
        </w:tc>
        <w:tc>
          <w:tcPr>
            <w:tcW w:w="153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1.72</w:t>
            </w:r>
          </w:p>
        </w:tc>
        <w:tc>
          <w:tcPr>
            <w:tcW w:w="126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w:t>
            </w:r>
          </w:p>
        </w:tc>
      </w:tr>
      <w:tr w:rsidR="0034518F" w:rsidRPr="00DF487C" w:rsidTr="00913D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rPr>
                <w:rFonts w:ascii="Arial" w:hAnsi="Arial" w:cs="Arial"/>
                <w:color w:val="000000"/>
                <w:sz w:val="20"/>
                <w:szCs w:val="20"/>
              </w:rPr>
            </w:pPr>
            <w:r w:rsidRPr="00DF487C">
              <w:rPr>
                <w:rFonts w:ascii="Arial" w:hAnsi="Arial" w:cs="Arial"/>
                <w:color w:val="000000"/>
                <w:sz w:val="20"/>
                <w:szCs w:val="20"/>
              </w:rPr>
              <w:t>GO:0007157</w:t>
            </w:r>
          </w:p>
        </w:tc>
        <w:tc>
          <w:tcPr>
            <w:tcW w:w="1931" w:type="dxa"/>
          </w:tcPr>
          <w:p w:rsidR="0034518F" w:rsidRPr="00DF487C" w:rsidRDefault="0034518F" w:rsidP="00913D4E">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proofErr w:type="spellStart"/>
            <w:r w:rsidRPr="00DF487C">
              <w:rPr>
                <w:rFonts w:ascii="Arial" w:hAnsi="Arial" w:cs="Arial"/>
                <w:color w:val="000000"/>
                <w:sz w:val="20"/>
                <w:szCs w:val="20"/>
              </w:rPr>
              <w:t>heterophilic</w:t>
            </w:r>
            <w:proofErr w:type="spellEnd"/>
            <w:r w:rsidRPr="00DF487C">
              <w:rPr>
                <w:rFonts w:ascii="Arial" w:hAnsi="Arial" w:cs="Arial"/>
                <w:color w:val="000000"/>
                <w:sz w:val="20"/>
                <w:szCs w:val="20"/>
              </w:rPr>
              <w:t xml:space="preserve"> cell-cell adhesion via plasma membrane cell adhesion molecules</w:t>
            </w:r>
          </w:p>
        </w:tc>
        <w:tc>
          <w:tcPr>
            <w:tcW w:w="128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41</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4.17E-06</w:t>
            </w:r>
          </w:p>
        </w:tc>
        <w:tc>
          <w:tcPr>
            <w:tcW w:w="1383"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5.38E-02</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1.31E-03</w:t>
            </w:r>
          </w:p>
        </w:tc>
        <w:tc>
          <w:tcPr>
            <w:tcW w:w="1427"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1.38</w:t>
            </w:r>
          </w:p>
        </w:tc>
        <w:tc>
          <w:tcPr>
            <w:tcW w:w="1363"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208</w:t>
            </w:r>
          </w:p>
        </w:tc>
        <w:tc>
          <w:tcPr>
            <w:tcW w:w="153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1.93</w:t>
            </w:r>
          </w:p>
        </w:tc>
        <w:tc>
          <w:tcPr>
            <w:tcW w:w="126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28</w:t>
            </w:r>
          </w:p>
        </w:tc>
      </w:tr>
      <w:tr w:rsidR="0034518F" w:rsidRPr="00DF487C" w:rsidTr="00913D4E">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rPr>
                <w:rFonts w:ascii="Arial" w:hAnsi="Arial" w:cs="Arial"/>
                <w:color w:val="000000"/>
                <w:sz w:val="20"/>
                <w:szCs w:val="20"/>
              </w:rPr>
            </w:pPr>
            <w:r w:rsidRPr="00DF487C">
              <w:rPr>
                <w:rFonts w:ascii="Arial" w:hAnsi="Arial" w:cs="Arial"/>
                <w:color w:val="000000"/>
                <w:sz w:val="20"/>
                <w:szCs w:val="20"/>
              </w:rPr>
              <w:t>GO:0061739</w:t>
            </w:r>
          </w:p>
        </w:tc>
        <w:tc>
          <w:tcPr>
            <w:tcW w:w="1931" w:type="dxa"/>
          </w:tcPr>
          <w:p w:rsidR="0034518F" w:rsidRPr="00DF487C" w:rsidRDefault="0034518F" w:rsidP="00913D4E">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 xml:space="preserve">protein </w:t>
            </w:r>
            <w:proofErr w:type="spellStart"/>
            <w:r w:rsidRPr="00DF487C">
              <w:rPr>
                <w:rFonts w:ascii="Arial" w:hAnsi="Arial" w:cs="Arial"/>
                <w:color w:val="000000"/>
                <w:sz w:val="20"/>
                <w:szCs w:val="20"/>
              </w:rPr>
              <w:t>lipidation</w:t>
            </w:r>
            <w:proofErr w:type="spellEnd"/>
            <w:r w:rsidRPr="00DF487C">
              <w:rPr>
                <w:rFonts w:ascii="Arial" w:hAnsi="Arial" w:cs="Arial"/>
                <w:color w:val="000000"/>
                <w:sz w:val="20"/>
                <w:szCs w:val="20"/>
              </w:rPr>
              <w:t xml:space="preserve"> involved in </w:t>
            </w:r>
            <w:proofErr w:type="spellStart"/>
            <w:r w:rsidRPr="00DF487C">
              <w:rPr>
                <w:rFonts w:ascii="Arial" w:hAnsi="Arial" w:cs="Arial"/>
                <w:color w:val="000000"/>
                <w:sz w:val="20"/>
                <w:szCs w:val="20"/>
              </w:rPr>
              <w:t>autophagosome</w:t>
            </w:r>
            <w:proofErr w:type="spellEnd"/>
            <w:r w:rsidRPr="00DF487C">
              <w:rPr>
                <w:rFonts w:ascii="Arial" w:hAnsi="Arial" w:cs="Arial"/>
                <w:color w:val="000000"/>
                <w:sz w:val="20"/>
                <w:szCs w:val="20"/>
              </w:rPr>
              <w:t xml:space="preserve"> assembly</w:t>
            </w:r>
          </w:p>
        </w:tc>
        <w:tc>
          <w:tcPr>
            <w:tcW w:w="128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42</w:t>
            </w:r>
          </w:p>
        </w:tc>
        <w:tc>
          <w:tcPr>
            <w:tcW w:w="1369"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4.22E-06</w:t>
            </w:r>
          </w:p>
        </w:tc>
        <w:tc>
          <w:tcPr>
            <w:tcW w:w="1383"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5.45E-02</w:t>
            </w:r>
          </w:p>
        </w:tc>
        <w:tc>
          <w:tcPr>
            <w:tcW w:w="1369"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1.30E-03</w:t>
            </w:r>
          </w:p>
        </w:tc>
        <w:tc>
          <w:tcPr>
            <w:tcW w:w="1427"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4.58</w:t>
            </w:r>
          </w:p>
        </w:tc>
        <w:tc>
          <w:tcPr>
            <w:tcW w:w="1363"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14</w:t>
            </w:r>
          </w:p>
        </w:tc>
        <w:tc>
          <w:tcPr>
            <w:tcW w:w="153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1.72</w:t>
            </w:r>
          </w:p>
        </w:tc>
        <w:tc>
          <w:tcPr>
            <w:tcW w:w="126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w:t>
            </w:r>
          </w:p>
        </w:tc>
      </w:tr>
      <w:tr w:rsidR="0034518F" w:rsidRPr="00DF487C" w:rsidTr="00913D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rPr>
                <w:rFonts w:ascii="Arial" w:hAnsi="Arial" w:cs="Arial"/>
                <w:color w:val="000000"/>
                <w:sz w:val="20"/>
                <w:szCs w:val="20"/>
              </w:rPr>
            </w:pPr>
            <w:r w:rsidRPr="00DF487C">
              <w:rPr>
                <w:rFonts w:ascii="Arial" w:hAnsi="Arial" w:cs="Arial"/>
                <w:color w:val="000000"/>
                <w:sz w:val="20"/>
                <w:szCs w:val="20"/>
              </w:rPr>
              <w:t>GO:0070295</w:t>
            </w:r>
          </w:p>
        </w:tc>
        <w:tc>
          <w:tcPr>
            <w:tcW w:w="1931" w:type="dxa"/>
          </w:tcPr>
          <w:p w:rsidR="0034518F" w:rsidRPr="00DF487C" w:rsidRDefault="0034518F" w:rsidP="00913D4E">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renal water absorption</w:t>
            </w:r>
          </w:p>
        </w:tc>
        <w:tc>
          <w:tcPr>
            <w:tcW w:w="128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43</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4.45E-06</w:t>
            </w:r>
          </w:p>
        </w:tc>
        <w:tc>
          <w:tcPr>
            <w:tcW w:w="1383"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5.75E-02</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1.34E-03</w:t>
            </w:r>
          </w:p>
        </w:tc>
        <w:tc>
          <w:tcPr>
            <w:tcW w:w="1427"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3.25</w:t>
            </w:r>
          </w:p>
        </w:tc>
        <w:tc>
          <w:tcPr>
            <w:tcW w:w="1363"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21</w:t>
            </w:r>
          </w:p>
        </w:tc>
        <w:tc>
          <w:tcPr>
            <w:tcW w:w="153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0.86</w:t>
            </w:r>
          </w:p>
        </w:tc>
        <w:tc>
          <w:tcPr>
            <w:tcW w:w="126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w:t>
            </w:r>
          </w:p>
        </w:tc>
      </w:tr>
      <w:tr w:rsidR="0034518F" w:rsidRPr="00DF487C" w:rsidTr="00913D4E">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rPr>
                <w:rFonts w:ascii="Arial" w:hAnsi="Arial" w:cs="Arial"/>
                <w:color w:val="000000"/>
                <w:sz w:val="20"/>
                <w:szCs w:val="20"/>
              </w:rPr>
            </w:pPr>
            <w:r w:rsidRPr="00DF487C">
              <w:rPr>
                <w:rFonts w:ascii="Arial" w:hAnsi="Arial" w:cs="Arial"/>
                <w:color w:val="000000"/>
                <w:sz w:val="20"/>
                <w:szCs w:val="20"/>
              </w:rPr>
              <w:t>GO:0045656</w:t>
            </w:r>
          </w:p>
        </w:tc>
        <w:tc>
          <w:tcPr>
            <w:tcW w:w="1931" w:type="dxa"/>
          </w:tcPr>
          <w:p w:rsidR="0034518F" w:rsidRPr="00DF487C" w:rsidRDefault="0034518F" w:rsidP="00913D4E">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negative regulation of monocyte differentiation</w:t>
            </w:r>
          </w:p>
        </w:tc>
        <w:tc>
          <w:tcPr>
            <w:tcW w:w="128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44</w:t>
            </w:r>
          </w:p>
        </w:tc>
        <w:tc>
          <w:tcPr>
            <w:tcW w:w="1369"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4.62E-06</w:t>
            </w:r>
          </w:p>
        </w:tc>
        <w:tc>
          <w:tcPr>
            <w:tcW w:w="1383"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5.97E-02</w:t>
            </w:r>
          </w:p>
        </w:tc>
        <w:tc>
          <w:tcPr>
            <w:tcW w:w="1369"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1.36E-03</w:t>
            </w:r>
          </w:p>
        </w:tc>
        <w:tc>
          <w:tcPr>
            <w:tcW w:w="1427"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2.64</w:t>
            </w:r>
          </w:p>
        </w:tc>
        <w:tc>
          <w:tcPr>
            <w:tcW w:w="1363"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29</w:t>
            </w:r>
          </w:p>
        </w:tc>
        <w:tc>
          <w:tcPr>
            <w:tcW w:w="153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2.46</w:t>
            </w:r>
          </w:p>
        </w:tc>
        <w:tc>
          <w:tcPr>
            <w:tcW w:w="126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w:t>
            </w:r>
          </w:p>
        </w:tc>
      </w:tr>
      <w:tr w:rsidR="0034518F" w:rsidRPr="00DF487C" w:rsidTr="00913D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rPr>
                <w:rFonts w:ascii="Arial" w:hAnsi="Arial" w:cs="Arial"/>
                <w:color w:val="000000"/>
                <w:sz w:val="20"/>
                <w:szCs w:val="20"/>
              </w:rPr>
            </w:pPr>
            <w:r w:rsidRPr="00DF487C">
              <w:rPr>
                <w:rFonts w:ascii="Arial" w:hAnsi="Arial" w:cs="Arial"/>
                <w:color w:val="000000"/>
                <w:sz w:val="20"/>
                <w:szCs w:val="20"/>
              </w:rPr>
              <w:lastRenderedPageBreak/>
              <w:t>GO:0009065</w:t>
            </w:r>
          </w:p>
        </w:tc>
        <w:tc>
          <w:tcPr>
            <w:tcW w:w="1931" w:type="dxa"/>
          </w:tcPr>
          <w:p w:rsidR="0034518F" w:rsidRPr="00DF487C" w:rsidRDefault="0034518F" w:rsidP="00913D4E">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glutamine family amino acid catabolic process</w:t>
            </w:r>
          </w:p>
        </w:tc>
        <w:tc>
          <w:tcPr>
            <w:tcW w:w="128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45</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5.01E-06</w:t>
            </w:r>
          </w:p>
        </w:tc>
        <w:tc>
          <w:tcPr>
            <w:tcW w:w="1383"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6.47E-02</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1.44E-03</w:t>
            </w:r>
          </w:p>
        </w:tc>
        <w:tc>
          <w:tcPr>
            <w:tcW w:w="1427"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1.92</w:t>
            </w:r>
          </w:p>
        </w:tc>
        <w:tc>
          <w:tcPr>
            <w:tcW w:w="1363"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57</w:t>
            </w:r>
          </w:p>
        </w:tc>
        <w:tc>
          <w:tcPr>
            <w:tcW w:w="153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1.38</w:t>
            </w:r>
          </w:p>
        </w:tc>
        <w:tc>
          <w:tcPr>
            <w:tcW w:w="126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10</w:t>
            </w:r>
          </w:p>
        </w:tc>
      </w:tr>
      <w:tr w:rsidR="0034518F" w:rsidRPr="00DF487C" w:rsidTr="00913D4E">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rPr>
                <w:rFonts w:ascii="Arial" w:hAnsi="Arial" w:cs="Arial"/>
                <w:color w:val="000000"/>
                <w:sz w:val="20"/>
                <w:szCs w:val="20"/>
              </w:rPr>
            </w:pPr>
            <w:r w:rsidRPr="00DF487C">
              <w:rPr>
                <w:rFonts w:ascii="Arial" w:hAnsi="Arial" w:cs="Arial"/>
                <w:color w:val="000000"/>
                <w:sz w:val="20"/>
                <w:szCs w:val="20"/>
              </w:rPr>
              <w:t>GO:0045659</w:t>
            </w:r>
          </w:p>
        </w:tc>
        <w:tc>
          <w:tcPr>
            <w:tcW w:w="1931" w:type="dxa"/>
          </w:tcPr>
          <w:p w:rsidR="0034518F" w:rsidRPr="00DF487C" w:rsidRDefault="0034518F" w:rsidP="00913D4E">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negative regulation of neutrophil differentiation</w:t>
            </w:r>
          </w:p>
        </w:tc>
        <w:tc>
          <w:tcPr>
            <w:tcW w:w="128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46</w:t>
            </w:r>
          </w:p>
        </w:tc>
        <w:tc>
          <w:tcPr>
            <w:tcW w:w="1369"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5.89E-06</w:t>
            </w:r>
          </w:p>
        </w:tc>
        <w:tc>
          <w:tcPr>
            <w:tcW w:w="1383"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7.61E-02</w:t>
            </w:r>
          </w:p>
        </w:tc>
        <w:tc>
          <w:tcPr>
            <w:tcW w:w="1369"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1.65E-03</w:t>
            </w:r>
          </w:p>
        </w:tc>
        <w:tc>
          <w:tcPr>
            <w:tcW w:w="1427"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3.57</w:t>
            </w:r>
          </w:p>
        </w:tc>
        <w:tc>
          <w:tcPr>
            <w:tcW w:w="1363"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18</w:t>
            </w:r>
          </w:p>
        </w:tc>
        <w:tc>
          <w:tcPr>
            <w:tcW w:w="153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3.45</w:t>
            </w:r>
          </w:p>
        </w:tc>
        <w:tc>
          <w:tcPr>
            <w:tcW w:w="126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w:t>
            </w:r>
          </w:p>
        </w:tc>
      </w:tr>
      <w:tr w:rsidR="0034518F" w:rsidRPr="00DF487C" w:rsidTr="00913D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rPr>
                <w:rFonts w:ascii="Arial" w:hAnsi="Arial" w:cs="Arial"/>
                <w:color w:val="000000"/>
                <w:sz w:val="20"/>
                <w:szCs w:val="20"/>
              </w:rPr>
            </w:pPr>
            <w:r w:rsidRPr="00DF487C">
              <w:rPr>
                <w:rFonts w:ascii="Arial" w:hAnsi="Arial" w:cs="Arial"/>
                <w:color w:val="000000"/>
                <w:sz w:val="20"/>
                <w:szCs w:val="20"/>
              </w:rPr>
              <w:t>GO:0003097</w:t>
            </w:r>
          </w:p>
        </w:tc>
        <w:tc>
          <w:tcPr>
            <w:tcW w:w="1931" w:type="dxa"/>
          </w:tcPr>
          <w:p w:rsidR="0034518F" w:rsidRPr="00DF487C" w:rsidRDefault="0034518F" w:rsidP="00913D4E">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renal water transport</w:t>
            </w:r>
          </w:p>
        </w:tc>
        <w:tc>
          <w:tcPr>
            <w:tcW w:w="128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47</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6.18E-06</w:t>
            </w:r>
          </w:p>
        </w:tc>
        <w:tc>
          <w:tcPr>
            <w:tcW w:w="1383"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7.99E-02</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1.70E-03</w:t>
            </w:r>
          </w:p>
        </w:tc>
        <w:tc>
          <w:tcPr>
            <w:tcW w:w="1427"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3.18</w:t>
            </w:r>
          </w:p>
        </w:tc>
        <w:tc>
          <w:tcPr>
            <w:tcW w:w="1363"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21</w:t>
            </w:r>
          </w:p>
        </w:tc>
        <w:tc>
          <w:tcPr>
            <w:tcW w:w="153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0.69</w:t>
            </w:r>
          </w:p>
        </w:tc>
        <w:tc>
          <w:tcPr>
            <w:tcW w:w="126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w:t>
            </w:r>
          </w:p>
        </w:tc>
      </w:tr>
      <w:tr w:rsidR="0034518F" w:rsidRPr="00DF487C" w:rsidTr="00913D4E">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rPr>
                <w:rFonts w:ascii="Arial" w:hAnsi="Arial" w:cs="Arial"/>
                <w:color w:val="000000"/>
                <w:sz w:val="20"/>
                <w:szCs w:val="20"/>
              </w:rPr>
            </w:pPr>
            <w:r w:rsidRPr="00DF487C">
              <w:rPr>
                <w:rFonts w:ascii="Arial" w:hAnsi="Arial" w:cs="Arial"/>
                <w:color w:val="000000"/>
                <w:sz w:val="20"/>
                <w:szCs w:val="20"/>
              </w:rPr>
              <w:t>GO:0016074</w:t>
            </w:r>
          </w:p>
        </w:tc>
        <w:tc>
          <w:tcPr>
            <w:tcW w:w="1931" w:type="dxa"/>
          </w:tcPr>
          <w:p w:rsidR="0034518F" w:rsidRPr="00DF487C" w:rsidRDefault="0034518F" w:rsidP="00913D4E">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proofErr w:type="spellStart"/>
            <w:r w:rsidRPr="00DF487C">
              <w:rPr>
                <w:rFonts w:ascii="Arial" w:hAnsi="Arial" w:cs="Arial"/>
                <w:color w:val="000000"/>
                <w:sz w:val="20"/>
                <w:szCs w:val="20"/>
              </w:rPr>
              <w:t>snoRNA</w:t>
            </w:r>
            <w:proofErr w:type="spellEnd"/>
            <w:r w:rsidRPr="00DF487C">
              <w:rPr>
                <w:rFonts w:ascii="Arial" w:hAnsi="Arial" w:cs="Arial"/>
                <w:color w:val="000000"/>
                <w:sz w:val="20"/>
                <w:szCs w:val="20"/>
              </w:rPr>
              <w:t xml:space="preserve"> metabolic process</w:t>
            </w:r>
          </w:p>
        </w:tc>
        <w:tc>
          <w:tcPr>
            <w:tcW w:w="128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48</w:t>
            </w:r>
          </w:p>
        </w:tc>
        <w:tc>
          <w:tcPr>
            <w:tcW w:w="1369"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6.30E-06</w:t>
            </w:r>
          </w:p>
        </w:tc>
        <w:tc>
          <w:tcPr>
            <w:tcW w:w="1383"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8.14E-02</w:t>
            </w:r>
          </w:p>
        </w:tc>
        <w:tc>
          <w:tcPr>
            <w:tcW w:w="1369"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1.69E-03</w:t>
            </w:r>
          </w:p>
        </w:tc>
        <w:tc>
          <w:tcPr>
            <w:tcW w:w="1427"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2.98</w:t>
            </w:r>
          </w:p>
        </w:tc>
        <w:tc>
          <w:tcPr>
            <w:tcW w:w="1363"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23</w:t>
            </w:r>
          </w:p>
        </w:tc>
        <w:tc>
          <w:tcPr>
            <w:tcW w:w="153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1.72</w:t>
            </w:r>
          </w:p>
        </w:tc>
        <w:tc>
          <w:tcPr>
            <w:tcW w:w="126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7</w:t>
            </w:r>
          </w:p>
        </w:tc>
      </w:tr>
      <w:tr w:rsidR="0034518F" w:rsidRPr="00DF487C" w:rsidTr="00913D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rPr>
                <w:rFonts w:ascii="Arial" w:hAnsi="Arial" w:cs="Arial"/>
                <w:color w:val="000000"/>
                <w:sz w:val="20"/>
                <w:szCs w:val="20"/>
              </w:rPr>
            </w:pPr>
            <w:r w:rsidRPr="00DF487C">
              <w:rPr>
                <w:rFonts w:ascii="Arial" w:hAnsi="Arial" w:cs="Arial"/>
                <w:color w:val="000000"/>
                <w:sz w:val="20"/>
                <w:szCs w:val="20"/>
              </w:rPr>
              <w:t>GO:1902567</w:t>
            </w:r>
          </w:p>
        </w:tc>
        <w:tc>
          <w:tcPr>
            <w:tcW w:w="1931" w:type="dxa"/>
          </w:tcPr>
          <w:p w:rsidR="0034518F" w:rsidRPr="00DF487C" w:rsidRDefault="0034518F" w:rsidP="00913D4E">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negative regulation of eosinophil activation</w:t>
            </w:r>
          </w:p>
        </w:tc>
        <w:tc>
          <w:tcPr>
            <w:tcW w:w="128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49</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6.38E-06</w:t>
            </w:r>
          </w:p>
        </w:tc>
        <w:tc>
          <w:tcPr>
            <w:tcW w:w="1383"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8.25E-02</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1.68E-03</w:t>
            </w:r>
          </w:p>
        </w:tc>
        <w:tc>
          <w:tcPr>
            <w:tcW w:w="1427"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10.53</w:t>
            </w:r>
          </w:p>
        </w:tc>
        <w:tc>
          <w:tcPr>
            <w:tcW w:w="1363"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7</w:t>
            </w:r>
          </w:p>
        </w:tc>
        <w:tc>
          <w:tcPr>
            <w:tcW w:w="153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3.45</w:t>
            </w:r>
          </w:p>
        </w:tc>
        <w:tc>
          <w:tcPr>
            <w:tcW w:w="126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w:t>
            </w:r>
          </w:p>
        </w:tc>
      </w:tr>
      <w:tr w:rsidR="0034518F" w:rsidRPr="00DF487C" w:rsidTr="00913D4E">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rPr>
                <w:rFonts w:ascii="Arial" w:hAnsi="Arial" w:cs="Arial"/>
                <w:color w:val="000000"/>
                <w:sz w:val="20"/>
                <w:szCs w:val="20"/>
              </w:rPr>
            </w:pPr>
            <w:r w:rsidRPr="00DF487C">
              <w:rPr>
                <w:rFonts w:ascii="Arial" w:hAnsi="Arial" w:cs="Arial"/>
                <w:color w:val="000000"/>
                <w:sz w:val="20"/>
                <w:szCs w:val="20"/>
              </w:rPr>
              <w:t>GO:0045658</w:t>
            </w:r>
          </w:p>
        </w:tc>
        <w:tc>
          <w:tcPr>
            <w:tcW w:w="1931" w:type="dxa"/>
          </w:tcPr>
          <w:p w:rsidR="0034518F" w:rsidRPr="00DF487C" w:rsidRDefault="0034518F" w:rsidP="00913D4E">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regulation of neutrophil differentiation</w:t>
            </w:r>
          </w:p>
        </w:tc>
        <w:tc>
          <w:tcPr>
            <w:tcW w:w="128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50</w:t>
            </w:r>
          </w:p>
        </w:tc>
        <w:tc>
          <w:tcPr>
            <w:tcW w:w="1369"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6.72E-06</w:t>
            </w:r>
          </w:p>
        </w:tc>
        <w:tc>
          <w:tcPr>
            <w:tcW w:w="1383"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8.69E-02</w:t>
            </w:r>
          </w:p>
        </w:tc>
        <w:tc>
          <w:tcPr>
            <w:tcW w:w="1369"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1.74E-03</w:t>
            </w:r>
          </w:p>
        </w:tc>
        <w:tc>
          <w:tcPr>
            <w:tcW w:w="1427"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3.54</w:t>
            </w:r>
          </w:p>
        </w:tc>
        <w:tc>
          <w:tcPr>
            <w:tcW w:w="1363"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18</w:t>
            </w:r>
          </w:p>
        </w:tc>
        <w:tc>
          <w:tcPr>
            <w:tcW w:w="153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2.30</w:t>
            </w:r>
          </w:p>
        </w:tc>
        <w:tc>
          <w:tcPr>
            <w:tcW w:w="126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w:t>
            </w:r>
          </w:p>
        </w:tc>
      </w:tr>
      <w:tr w:rsidR="0034518F" w:rsidRPr="00DF487C" w:rsidTr="00913D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rPr>
                <w:rFonts w:ascii="Arial" w:hAnsi="Arial" w:cs="Arial"/>
                <w:color w:val="000000"/>
                <w:sz w:val="20"/>
                <w:szCs w:val="20"/>
              </w:rPr>
            </w:pPr>
            <w:r w:rsidRPr="00DF487C">
              <w:rPr>
                <w:rFonts w:ascii="Arial" w:hAnsi="Arial" w:cs="Arial"/>
                <w:color w:val="000000"/>
                <w:sz w:val="20"/>
                <w:szCs w:val="20"/>
              </w:rPr>
              <w:t>GO:0006536</w:t>
            </w:r>
          </w:p>
        </w:tc>
        <w:tc>
          <w:tcPr>
            <w:tcW w:w="1931" w:type="dxa"/>
          </w:tcPr>
          <w:p w:rsidR="0034518F" w:rsidRPr="00DF487C" w:rsidRDefault="0034518F" w:rsidP="00913D4E">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glutamate metabolic process</w:t>
            </w:r>
          </w:p>
        </w:tc>
        <w:tc>
          <w:tcPr>
            <w:tcW w:w="128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51</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7.24E-06</w:t>
            </w:r>
          </w:p>
        </w:tc>
        <w:tc>
          <w:tcPr>
            <w:tcW w:w="1383"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9.35E-02</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1.83E-03</w:t>
            </w:r>
          </w:p>
        </w:tc>
        <w:tc>
          <w:tcPr>
            <w:tcW w:w="1427"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1.83</w:t>
            </w:r>
          </w:p>
        </w:tc>
        <w:tc>
          <w:tcPr>
            <w:tcW w:w="1363"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63</w:t>
            </w:r>
          </w:p>
        </w:tc>
        <w:tc>
          <w:tcPr>
            <w:tcW w:w="153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1.19</w:t>
            </w:r>
          </w:p>
        </w:tc>
        <w:tc>
          <w:tcPr>
            <w:tcW w:w="126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10</w:t>
            </w:r>
          </w:p>
        </w:tc>
      </w:tr>
      <w:tr w:rsidR="0034518F" w:rsidRPr="00DF487C" w:rsidTr="00913D4E">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rPr>
                <w:rFonts w:ascii="Arial" w:hAnsi="Arial" w:cs="Arial"/>
                <w:color w:val="000000"/>
                <w:sz w:val="20"/>
                <w:szCs w:val="20"/>
              </w:rPr>
            </w:pPr>
            <w:r w:rsidRPr="00DF487C">
              <w:rPr>
                <w:rFonts w:ascii="Arial" w:hAnsi="Arial" w:cs="Arial"/>
                <w:color w:val="000000"/>
                <w:sz w:val="20"/>
                <w:szCs w:val="20"/>
              </w:rPr>
              <w:t>GO:0030853</w:t>
            </w:r>
          </w:p>
        </w:tc>
        <w:tc>
          <w:tcPr>
            <w:tcW w:w="1931" w:type="dxa"/>
          </w:tcPr>
          <w:p w:rsidR="0034518F" w:rsidRPr="00DF487C" w:rsidRDefault="0034518F" w:rsidP="00913D4E">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negative regulation of granulocyte differentiation</w:t>
            </w:r>
          </w:p>
        </w:tc>
        <w:tc>
          <w:tcPr>
            <w:tcW w:w="128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52</w:t>
            </w:r>
          </w:p>
        </w:tc>
        <w:tc>
          <w:tcPr>
            <w:tcW w:w="1369"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7.30E-06</w:t>
            </w:r>
          </w:p>
        </w:tc>
        <w:tc>
          <w:tcPr>
            <w:tcW w:w="1383"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9.43E-02</w:t>
            </w:r>
          </w:p>
        </w:tc>
        <w:tc>
          <w:tcPr>
            <w:tcW w:w="1369" w:type="dxa"/>
          </w:tcPr>
          <w:p w:rsidR="0034518F" w:rsidRPr="00DF487C"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1.81E-03</w:t>
            </w:r>
          </w:p>
        </w:tc>
        <w:tc>
          <w:tcPr>
            <w:tcW w:w="1427"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3.14</w:t>
            </w:r>
          </w:p>
        </w:tc>
        <w:tc>
          <w:tcPr>
            <w:tcW w:w="1363"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21</w:t>
            </w:r>
          </w:p>
        </w:tc>
        <w:tc>
          <w:tcPr>
            <w:tcW w:w="153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1.29</w:t>
            </w:r>
          </w:p>
        </w:tc>
        <w:tc>
          <w:tcPr>
            <w:tcW w:w="1260" w:type="dxa"/>
          </w:tcPr>
          <w:p w:rsidR="0034518F" w:rsidRPr="00DF487C"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w:t>
            </w:r>
          </w:p>
        </w:tc>
      </w:tr>
      <w:tr w:rsidR="0034518F" w:rsidRPr="00DF487C" w:rsidTr="00913D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8" w:type="dxa"/>
          </w:tcPr>
          <w:p w:rsidR="0034518F" w:rsidRPr="00DF487C" w:rsidRDefault="0034518F" w:rsidP="00913D4E">
            <w:pPr>
              <w:rPr>
                <w:rFonts w:ascii="Arial" w:hAnsi="Arial" w:cs="Arial"/>
                <w:color w:val="000000"/>
                <w:sz w:val="20"/>
                <w:szCs w:val="20"/>
              </w:rPr>
            </w:pPr>
            <w:r w:rsidRPr="00DF487C">
              <w:rPr>
                <w:rFonts w:ascii="Arial" w:hAnsi="Arial" w:cs="Arial"/>
                <w:color w:val="000000"/>
                <w:sz w:val="20"/>
                <w:szCs w:val="20"/>
              </w:rPr>
              <w:t>GO:0071362</w:t>
            </w:r>
          </w:p>
        </w:tc>
        <w:tc>
          <w:tcPr>
            <w:tcW w:w="1931" w:type="dxa"/>
          </w:tcPr>
          <w:p w:rsidR="0034518F" w:rsidRPr="00DF487C" w:rsidRDefault="0034518F" w:rsidP="00913D4E">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cellular response to ether</w:t>
            </w:r>
          </w:p>
        </w:tc>
        <w:tc>
          <w:tcPr>
            <w:tcW w:w="128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53</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7.34E-06</w:t>
            </w:r>
          </w:p>
        </w:tc>
        <w:tc>
          <w:tcPr>
            <w:tcW w:w="1383"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9.48E-02</w:t>
            </w:r>
          </w:p>
        </w:tc>
        <w:tc>
          <w:tcPr>
            <w:tcW w:w="1369" w:type="dxa"/>
          </w:tcPr>
          <w:p w:rsidR="0034518F" w:rsidRPr="00DF487C" w:rsidRDefault="0034518F" w:rsidP="00913D4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1.79E-03</w:t>
            </w:r>
          </w:p>
        </w:tc>
        <w:tc>
          <w:tcPr>
            <w:tcW w:w="1427"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2.80</w:t>
            </w:r>
          </w:p>
        </w:tc>
        <w:tc>
          <w:tcPr>
            <w:tcW w:w="1363"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25</w:t>
            </w:r>
          </w:p>
        </w:tc>
        <w:tc>
          <w:tcPr>
            <w:tcW w:w="153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2.07</w:t>
            </w:r>
          </w:p>
        </w:tc>
        <w:tc>
          <w:tcPr>
            <w:tcW w:w="1260" w:type="dxa"/>
          </w:tcPr>
          <w:p w:rsidR="0034518F" w:rsidRPr="00DF487C" w:rsidRDefault="0034518F" w:rsidP="00913D4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w:t>
            </w:r>
          </w:p>
        </w:tc>
      </w:tr>
      <w:tr w:rsidR="0034518F" w:rsidTr="00913D4E">
        <w:tc>
          <w:tcPr>
            <w:cnfStyle w:val="001000000000" w:firstRow="0" w:lastRow="0" w:firstColumn="1" w:lastColumn="0" w:oddVBand="0" w:evenVBand="0" w:oddHBand="0" w:evenHBand="0" w:firstRowFirstColumn="0" w:firstRowLastColumn="0" w:lastRowFirstColumn="0" w:lastRowLastColumn="0"/>
            <w:tcW w:w="1488" w:type="dxa"/>
          </w:tcPr>
          <w:p w:rsidR="0034518F" w:rsidRDefault="0034518F" w:rsidP="00913D4E">
            <w:pPr>
              <w:rPr>
                <w:rFonts w:ascii="Arial" w:hAnsi="Arial" w:cs="Arial"/>
                <w:color w:val="000000"/>
              </w:rPr>
            </w:pPr>
            <w:r>
              <w:rPr>
                <w:rFonts w:ascii="Arial" w:hAnsi="Arial" w:cs="Arial"/>
                <w:color w:val="000000"/>
              </w:rPr>
              <w:t>GO:1904637</w:t>
            </w:r>
          </w:p>
        </w:tc>
        <w:tc>
          <w:tcPr>
            <w:tcW w:w="1931" w:type="dxa"/>
          </w:tcPr>
          <w:p w:rsidR="0034518F" w:rsidRDefault="0034518F" w:rsidP="00913D4E">
            <w:pP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 xml:space="preserve">cellular response to </w:t>
            </w:r>
            <w:proofErr w:type="spellStart"/>
            <w:r>
              <w:rPr>
                <w:rFonts w:ascii="Arial" w:hAnsi="Arial" w:cs="Arial"/>
                <w:color w:val="000000"/>
              </w:rPr>
              <w:t>ionomycin</w:t>
            </w:r>
            <w:proofErr w:type="spellEnd"/>
          </w:p>
        </w:tc>
        <w:tc>
          <w:tcPr>
            <w:tcW w:w="1280" w:type="dxa"/>
          </w:tcPr>
          <w:p w:rsidR="0034518F"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54</w:t>
            </w:r>
          </w:p>
        </w:tc>
        <w:tc>
          <w:tcPr>
            <w:tcW w:w="1369" w:type="dxa"/>
          </w:tcPr>
          <w:p w:rsidR="0034518F"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7.82E-06</w:t>
            </w:r>
          </w:p>
        </w:tc>
        <w:tc>
          <w:tcPr>
            <w:tcW w:w="1383" w:type="dxa"/>
          </w:tcPr>
          <w:p w:rsidR="0034518F"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1.01E-01</w:t>
            </w:r>
          </w:p>
        </w:tc>
        <w:tc>
          <w:tcPr>
            <w:tcW w:w="1369" w:type="dxa"/>
          </w:tcPr>
          <w:p w:rsidR="0034518F" w:rsidRDefault="0034518F" w:rsidP="00913D4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1.87E-03</w:t>
            </w:r>
          </w:p>
        </w:tc>
        <w:tc>
          <w:tcPr>
            <w:tcW w:w="1427" w:type="dxa"/>
          </w:tcPr>
          <w:p w:rsidR="0034518F"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2.94</w:t>
            </w:r>
          </w:p>
        </w:tc>
        <w:tc>
          <w:tcPr>
            <w:tcW w:w="1363" w:type="dxa"/>
          </w:tcPr>
          <w:p w:rsidR="0034518F" w:rsidRPr="00642D7B"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42D7B">
              <w:rPr>
                <w:rFonts w:ascii="Arial" w:hAnsi="Arial" w:cs="Arial"/>
                <w:color w:val="000000"/>
              </w:rPr>
              <w:t>23</w:t>
            </w:r>
          </w:p>
        </w:tc>
        <w:tc>
          <w:tcPr>
            <w:tcW w:w="1530" w:type="dxa"/>
          </w:tcPr>
          <w:p w:rsidR="0034518F" w:rsidRPr="00642D7B"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42D7B">
              <w:rPr>
                <w:rFonts w:ascii="Arial" w:hAnsi="Arial" w:cs="Arial"/>
                <w:color w:val="000000"/>
              </w:rPr>
              <w:t>1.72</w:t>
            </w:r>
          </w:p>
        </w:tc>
        <w:tc>
          <w:tcPr>
            <w:tcW w:w="1260" w:type="dxa"/>
          </w:tcPr>
          <w:p w:rsidR="0034518F" w:rsidRPr="00642D7B" w:rsidRDefault="0034518F" w:rsidP="00913D4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42D7B">
              <w:rPr>
                <w:rFonts w:ascii="Arial" w:hAnsi="Arial" w:cs="Arial"/>
                <w:color w:val="000000"/>
              </w:rPr>
              <w:t>2</w:t>
            </w:r>
          </w:p>
        </w:tc>
      </w:tr>
    </w:tbl>
    <w:p w:rsidR="0034518F" w:rsidRDefault="0034518F" w:rsidP="008B50C1">
      <w:pPr>
        <w:rPr>
          <w:rFonts w:ascii="Arial" w:hAnsi="Arial" w:cs="Arial"/>
          <w:b/>
        </w:rPr>
      </w:pPr>
      <w:r w:rsidRPr="00DF487C">
        <w:rPr>
          <w:rFonts w:ascii="Arial" w:hAnsi="Arial" w:cs="Arial"/>
          <w:sz w:val="20"/>
        </w:rPr>
        <w:t>Legend: *Proximity-placement-guided Genomic Regulatory Network (GRN) analyses were performed employing the GREAT algorithm software as described in</w:t>
      </w:r>
    </w:p>
    <w:p w:rsidR="0034518F" w:rsidRDefault="0034518F" w:rsidP="008B50C1">
      <w:pPr>
        <w:rPr>
          <w:rFonts w:ascii="Arial" w:hAnsi="Arial" w:cs="Arial"/>
          <w:b/>
        </w:rPr>
      </w:pPr>
    </w:p>
    <w:p w:rsidR="00372253" w:rsidRDefault="00372253" w:rsidP="008B50C1">
      <w:pPr>
        <w:rPr>
          <w:rFonts w:ascii="Arial" w:hAnsi="Arial" w:cs="Arial"/>
          <w:b/>
        </w:rPr>
      </w:pPr>
    </w:p>
    <w:p w:rsidR="00372253" w:rsidRDefault="00372253" w:rsidP="008B50C1">
      <w:pPr>
        <w:rPr>
          <w:rFonts w:ascii="Arial" w:hAnsi="Arial" w:cs="Arial"/>
          <w:b/>
        </w:rPr>
      </w:pPr>
    </w:p>
    <w:p w:rsidR="00372253" w:rsidRDefault="00372253" w:rsidP="008B50C1">
      <w:pPr>
        <w:rPr>
          <w:rFonts w:ascii="Arial" w:hAnsi="Arial" w:cs="Arial"/>
          <w:b/>
        </w:rPr>
      </w:pPr>
    </w:p>
    <w:p w:rsidR="00372253" w:rsidRDefault="00372253" w:rsidP="008B50C1">
      <w:pPr>
        <w:rPr>
          <w:rFonts w:ascii="Arial" w:hAnsi="Arial" w:cs="Arial"/>
          <w:b/>
        </w:rPr>
      </w:pPr>
    </w:p>
    <w:p w:rsidR="00372253" w:rsidRDefault="00372253" w:rsidP="008B50C1">
      <w:pPr>
        <w:rPr>
          <w:rFonts w:ascii="Arial" w:hAnsi="Arial" w:cs="Arial"/>
          <w:b/>
        </w:rPr>
      </w:pPr>
    </w:p>
    <w:p w:rsidR="00372253" w:rsidRDefault="00372253" w:rsidP="008B50C1">
      <w:pPr>
        <w:rPr>
          <w:rFonts w:ascii="Arial" w:hAnsi="Arial" w:cs="Arial"/>
          <w:b/>
        </w:rPr>
      </w:pPr>
    </w:p>
    <w:p w:rsidR="00372253" w:rsidRDefault="00372253" w:rsidP="008B50C1">
      <w:pPr>
        <w:rPr>
          <w:rFonts w:ascii="Arial" w:hAnsi="Arial" w:cs="Arial"/>
          <w:b/>
        </w:rPr>
      </w:pPr>
    </w:p>
    <w:p w:rsidR="008B50C1" w:rsidRPr="005240EE" w:rsidRDefault="008B50C1" w:rsidP="008B50C1">
      <w:pPr>
        <w:rPr>
          <w:rFonts w:ascii="Arial" w:hAnsi="Arial" w:cs="Arial"/>
        </w:rPr>
      </w:pPr>
      <w:r w:rsidRPr="005240EE">
        <w:rPr>
          <w:rFonts w:ascii="Arial" w:hAnsi="Arial" w:cs="Arial"/>
          <w:b/>
        </w:rPr>
        <w:lastRenderedPageBreak/>
        <w:t>Table 3.</w:t>
      </w:r>
      <w:r w:rsidRPr="005240EE">
        <w:rPr>
          <w:rFonts w:ascii="Arial" w:hAnsi="Arial" w:cs="Arial"/>
        </w:rPr>
        <w:t xml:space="preserve"> Quantitative profiles of </w:t>
      </w:r>
      <w:r w:rsidR="002F5992">
        <w:rPr>
          <w:rFonts w:ascii="Arial" w:hAnsi="Arial" w:cs="Arial"/>
        </w:rPr>
        <w:t>regulatory LTR</w:t>
      </w:r>
      <w:r w:rsidRPr="005240EE">
        <w:rPr>
          <w:rFonts w:ascii="Arial" w:hAnsi="Arial" w:cs="Arial"/>
        </w:rPr>
        <w:t xml:space="preserve"> elements, down-stream target genes, and genomic regulatory modules (GRMs)</w:t>
      </w:r>
      <w:r>
        <w:rPr>
          <w:rFonts w:ascii="Arial" w:hAnsi="Arial" w:cs="Arial"/>
        </w:rPr>
        <w:t xml:space="preserve"> * within 26</w:t>
      </w:r>
      <w:r w:rsidRPr="005240EE">
        <w:rPr>
          <w:rFonts w:ascii="Arial" w:hAnsi="Arial" w:cs="Arial"/>
        </w:rPr>
        <w:t xml:space="preserve"> gene ontology enrichment analysis-defined genomic regulatory networks (GRNs)</w:t>
      </w:r>
      <w:r>
        <w:rPr>
          <w:rFonts w:ascii="Arial" w:hAnsi="Arial" w:cs="Arial"/>
        </w:rPr>
        <w:t xml:space="preserve"> ** of the genomic dominion</w:t>
      </w:r>
      <w:r w:rsidRPr="005240EE">
        <w:rPr>
          <w:rFonts w:ascii="Arial" w:hAnsi="Arial" w:cs="Arial"/>
        </w:rPr>
        <w:t xml:space="preserve"> of human embryo </w:t>
      </w:r>
      <w:r w:rsidR="002F5992">
        <w:rPr>
          <w:rFonts w:ascii="Arial" w:hAnsi="Arial" w:cs="Arial"/>
        </w:rPr>
        <w:t>regulatory LTR</w:t>
      </w:r>
      <w:r w:rsidRPr="005240EE">
        <w:rPr>
          <w:rFonts w:ascii="Arial" w:hAnsi="Arial" w:cs="Arial"/>
        </w:rPr>
        <w:t>s</w:t>
      </w:r>
      <w:r>
        <w:rPr>
          <w:rFonts w:ascii="Arial" w:hAnsi="Arial" w:cs="Arial"/>
        </w:rPr>
        <w:t>.</w:t>
      </w:r>
    </w:p>
    <w:tbl>
      <w:tblPr>
        <w:tblStyle w:val="PlainTable2"/>
        <w:tblW w:w="14490" w:type="dxa"/>
        <w:tblLayout w:type="fixed"/>
        <w:tblLook w:val="04A0" w:firstRow="1" w:lastRow="0" w:firstColumn="1" w:lastColumn="0" w:noHBand="0" w:noVBand="1"/>
      </w:tblPr>
      <w:tblGrid>
        <w:gridCol w:w="1440"/>
        <w:gridCol w:w="2340"/>
        <w:gridCol w:w="990"/>
        <w:gridCol w:w="990"/>
        <w:gridCol w:w="1260"/>
        <w:gridCol w:w="1350"/>
        <w:gridCol w:w="1170"/>
        <w:gridCol w:w="1260"/>
        <w:gridCol w:w="1260"/>
        <w:gridCol w:w="1260"/>
        <w:gridCol w:w="1170"/>
      </w:tblGrid>
      <w:tr w:rsidR="008B50C1" w:rsidTr="008B50C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rsidR="008B50C1" w:rsidRPr="005240EE" w:rsidRDefault="008B50C1" w:rsidP="008B50C1">
            <w:pPr>
              <w:jc w:val="center"/>
              <w:rPr>
                <w:rFonts w:ascii="Arial" w:hAnsi="Arial" w:cs="Arial"/>
                <w:color w:val="000000"/>
                <w:sz w:val="20"/>
                <w:szCs w:val="20"/>
              </w:rPr>
            </w:pPr>
            <w:r w:rsidRPr="005240EE">
              <w:rPr>
                <w:rFonts w:ascii="Arial" w:hAnsi="Arial" w:cs="Arial"/>
                <w:color w:val="000000"/>
                <w:sz w:val="20"/>
                <w:szCs w:val="20"/>
              </w:rPr>
              <w:t>Gene ontology ID</w:t>
            </w:r>
          </w:p>
        </w:tc>
        <w:tc>
          <w:tcPr>
            <w:tcW w:w="2340" w:type="dxa"/>
          </w:tcPr>
          <w:p w:rsidR="008B50C1" w:rsidRPr="005240EE" w:rsidRDefault="008B50C1" w:rsidP="008B50C1">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20"/>
                <w:szCs w:val="20"/>
              </w:rPr>
            </w:pPr>
            <w:r w:rsidRPr="005240EE">
              <w:rPr>
                <w:rFonts w:ascii="Arial" w:hAnsi="Arial" w:cs="Arial"/>
                <w:color w:val="000000"/>
                <w:sz w:val="20"/>
                <w:szCs w:val="20"/>
              </w:rPr>
              <w:t>Genomic regulatory networks</w:t>
            </w:r>
          </w:p>
        </w:tc>
        <w:tc>
          <w:tcPr>
            <w:tcW w:w="990" w:type="dxa"/>
          </w:tcPr>
          <w:p w:rsidR="008B50C1" w:rsidRPr="005240EE" w:rsidRDefault="008B50C1" w:rsidP="008B50C1">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20"/>
                <w:szCs w:val="20"/>
              </w:rPr>
            </w:pPr>
            <w:r w:rsidRPr="005240EE">
              <w:rPr>
                <w:rFonts w:ascii="Arial" w:hAnsi="Arial" w:cs="Arial"/>
                <w:color w:val="000000"/>
                <w:sz w:val="20"/>
                <w:szCs w:val="20"/>
              </w:rPr>
              <w:t>Number of LTRs</w:t>
            </w:r>
          </w:p>
        </w:tc>
        <w:tc>
          <w:tcPr>
            <w:tcW w:w="990" w:type="dxa"/>
          </w:tcPr>
          <w:p w:rsidR="008B50C1" w:rsidRPr="005240EE" w:rsidRDefault="008B50C1" w:rsidP="008B50C1">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20"/>
                <w:szCs w:val="20"/>
              </w:rPr>
            </w:pPr>
            <w:r>
              <w:rPr>
                <w:rFonts w:ascii="Arial" w:hAnsi="Arial" w:cs="Arial"/>
                <w:color w:val="000000"/>
                <w:sz w:val="20"/>
                <w:szCs w:val="20"/>
              </w:rPr>
              <w:t xml:space="preserve">Number of </w:t>
            </w:r>
            <w:r w:rsidRPr="005240EE">
              <w:rPr>
                <w:rFonts w:ascii="Arial" w:hAnsi="Arial" w:cs="Arial"/>
                <w:color w:val="000000"/>
                <w:sz w:val="20"/>
                <w:szCs w:val="20"/>
              </w:rPr>
              <w:t xml:space="preserve"> genes</w:t>
            </w:r>
          </w:p>
        </w:tc>
        <w:tc>
          <w:tcPr>
            <w:tcW w:w="1260" w:type="dxa"/>
          </w:tcPr>
          <w:p w:rsidR="008B50C1" w:rsidRPr="005240EE" w:rsidRDefault="008B50C1" w:rsidP="008B50C1">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20"/>
                <w:szCs w:val="20"/>
              </w:rPr>
            </w:pPr>
            <w:r w:rsidRPr="005240EE">
              <w:rPr>
                <w:rFonts w:ascii="Arial" w:hAnsi="Arial" w:cs="Arial"/>
                <w:color w:val="000000"/>
                <w:sz w:val="20"/>
                <w:szCs w:val="20"/>
              </w:rPr>
              <w:t>GO Biological Process</w:t>
            </w:r>
          </w:p>
        </w:tc>
        <w:tc>
          <w:tcPr>
            <w:tcW w:w="1350" w:type="dxa"/>
          </w:tcPr>
          <w:p w:rsidR="008B50C1" w:rsidRPr="005240EE" w:rsidRDefault="008B50C1" w:rsidP="008B50C1">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20"/>
                <w:szCs w:val="20"/>
              </w:rPr>
            </w:pPr>
            <w:r w:rsidRPr="005240EE">
              <w:rPr>
                <w:rFonts w:ascii="Arial" w:hAnsi="Arial" w:cs="Arial"/>
                <w:color w:val="000000"/>
                <w:sz w:val="20"/>
                <w:szCs w:val="20"/>
              </w:rPr>
              <w:t>GO Cellular Component</w:t>
            </w:r>
          </w:p>
        </w:tc>
        <w:tc>
          <w:tcPr>
            <w:tcW w:w="1170" w:type="dxa"/>
          </w:tcPr>
          <w:p w:rsidR="008B50C1" w:rsidRPr="005240EE" w:rsidRDefault="008B50C1" w:rsidP="008B50C1">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20"/>
                <w:szCs w:val="20"/>
              </w:rPr>
            </w:pPr>
            <w:r w:rsidRPr="005240EE">
              <w:rPr>
                <w:rFonts w:ascii="Arial" w:hAnsi="Arial" w:cs="Arial"/>
                <w:color w:val="000000"/>
                <w:sz w:val="20"/>
                <w:szCs w:val="20"/>
              </w:rPr>
              <w:t>GO Molecular Function</w:t>
            </w:r>
          </w:p>
        </w:tc>
        <w:tc>
          <w:tcPr>
            <w:tcW w:w="1260" w:type="dxa"/>
          </w:tcPr>
          <w:p w:rsidR="008B50C1" w:rsidRPr="005240EE" w:rsidRDefault="008B50C1" w:rsidP="008B50C1">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20"/>
                <w:szCs w:val="20"/>
              </w:rPr>
            </w:pPr>
            <w:r w:rsidRPr="005240EE">
              <w:rPr>
                <w:rFonts w:ascii="Arial" w:hAnsi="Arial" w:cs="Arial"/>
                <w:color w:val="000000"/>
                <w:sz w:val="20"/>
                <w:szCs w:val="20"/>
              </w:rPr>
              <w:t>Human Phenotype</w:t>
            </w:r>
          </w:p>
        </w:tc>
        <w:tc>
          <w:tcPr>
            <w:tcW w:w="1260" w:type="dxa"/>
          </w:tcPr>
          <w:p w:rsidR="008B50C1" w:rsidRPr="005240EE" w:rsidRDefault="008B50C1" w:rsidP="008B50C1">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20"/>
                <w:szCs w:val="20"/>
              </w:rPr>
            </w:pPr>
            <w:r w:rsidRPr="005240EE">
              <w:rPr>
                <w:rFonts w:ascii="Arial" w:hAnsi="Arial" w:cs="Arial"/>
                <w:color w:val="000000"/>
                <w:sz w:val="20"/>
                <w:szCs w:val="20"/>
              </w:rPr>
              <w:t>Mouse Phenotype Single KO</w:t>
            </w:r>
          </w:p>
        </w:tc>
        <w:tc>
          <w:tcPr>
            <w:tcW w:w="1260" w:type="dxa"/>
          </w:tcPr>
          <w:p w:rsidR="008B50C1" w:rsidRPr="005240EE" w:rsidRDefault="008B50C1" w:rsidP="008B50C1">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20"/>
                <w:szCs w:val="20"/>
              </w:rPr>
            </w:pPr>
            <w:r w:rsidRPr="005240EE">
              <w:rPr>
                <w:rFonts w:ascii="Arial" w:hAnsi="Arial" w:cs="Arial"/>
                <w:color w:val="000000"/>
                <w:sz w:val="20"/>
                <w:szCs w:val="20"/>
              </w:rPr>
              <w:t>Mouse Phenotype</w:t>
            </w:r>
          </w:p>
        </w:tc>
        <w:tc>
          <w:tcPr>
            <w:tcW w:w="1170" w:type="dxa"/>
          </w:tcPr>
          <w:p w:rsidR="008B50C1" w:rsidRPr="005240EE" w:rsidRDefault="008B50C1" w:rsidP="008B50C1">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20"/>
                <w:szCs w:val="20"/>
              </w:rPr>
            </w:pPr>
            <w:r w:rsidRPr="005240EE">
              <w:rPr>
                <w:rFonts w:ascii="Arial" w:hAnsi="Arial" w:cs="Arial"/>
                <w:color w:val="000000"/>
                <w:sz w:val="20"/>
                <w:szCs w:val="20"/>
              </w:rPr>
              <w:t>Number of GRNs &amp; GRMs</w:t>
            </w:r>
          </w:p>
        </w:tc>
      </w:tr>
      <w:tr w:rsidR="008B50C1" w:rsidTr="008B50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rsidR="008B50C1" w:rsidRDefault="008B50C1" w:rsidP="008B50C1">
            <w:pPr>
              <w:jc w:val="center"/>
              <w:rPr>
                <w:rFonts w:ascii="Arial" w:hAnsi="Arial" w:cs="Arial"/>
                <w:color w:val="000000"/>
                <w:sz w:val="20"/>
                <w:szCs w:val="20"/>
              </w:rPr>
            </w:pPr>
          </w:p>
          <w:p w:rsidR="008B50C1" w:rsidRPr="005240EE" w:rsidRDefault="008B50C1" w:rsidP="008B50C1">
            <w:pPr>
              <w:jc w:val="center"/>
              <w:rPr>
                <w:rFonts w:ascii="Arial" w:hAnsi="Arial" w:cs="Arial"/>
                <w:color w:val="000000"/>
                <w:sz w:val="20"/>
                <w:szCs w:val="20"/>
              </w:rPr>
            </w:pPr>
            <w:r w:rsidRPr="005240EE">
              <w:rPr>
                <w:rFonts w:ascii="Arial" w:hAnsi="Arial" w:cs="Arial"/>
                <w:color w:val="000000"/>
                <w:sz w:val="20"/>
                <w:szCs w:val="20"/>
              </w:rPr>
              <w:t>NA</w:t>
            </w:r>
          </w:p>
        </w:tc>
        <w:tc>
          <w:tcPr>
            <w:tcW w:w="2340" w:type="dxa"/>
          </w:tcPr>
          <w:p w:rsidR="008B50C1" w:rsidRPr="005240EE"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20"/>
                <w:szCs w:val="20"/>
              </w:rPr>
            </w:pPr>
            <w:r w:rsidRPr="005240EE">
              <w:rPr>
                <w:rFonts w:ascii="Arial" w:hAnsi="Arial" w:cs="Arial"/>
                <w:b/>
                <w:color w:val="000000"/>
                <w:sz w:val="20"/>
                <w:szCs w:val="20"/>
              </w:rPr>
              <w:t xml:space="preserve">Genomic dominion of human embryo </w:t>
            </w:r>
            <w:r w:rsidR="002F5992">
              <w:rPr>
                <w:rFonts w:ascii="Arial" w:hAnsi="Arial" w:cs="Arial"/>
                <w:b/>
                <w:color w:val="000000"/>
                <w:sz w:val="20"/>
                <w:szCs w:val="20"/>
              </w:rPr>
              <w:t>regulatory LTR</w:t>
            </w:r>
            <w:r w:rsidRPr="005240EE">
              <w:rPr>
                <w:rFonts w:ascii="Arial" w:hAnsi="Arial" w:cs="Arial"/>
                <w:b/>
                <w:color w:val="000000"/>
                <w:sz w:val="20"/>
                <w:szCs w:val="20"/>
              </w:rPr>
              <w:t>s</w:t>
            </w:r>
          </w:p>
        </w:tc>
        <w:tc>
          <w:tcPr>
            <w:tcW w:w="99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8839</w:t>
            </w:r>
          </w:p>
        </w:tc>
        <w:tc>
          <w:tcPr>
            <w:tcW w:w="99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5444</w:t>
            </w:r>
          </w:p>
        </w:tc>
        <w:tc>
          <w:tcPr>
            <w:tcW w:w="126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38</w:t>
            </w:r>
          </w:p>
        </w:tc>
        <w:tc>
          <w:tcPr>
            <w:tcW w:w="135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20</w:t>
            </w:r>
          </w:p>
        </w:tc>
        <w:tc>
          <w:tcPr>
            <w:tcW w:w="117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15</w:t>
            </w:r>
          </w:p>
        </w:tc>
        <w:tc>
          <w:tcPr>
            <w:tcW w:w="126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7</w:t>
            </w:r>
          </w:p>
        </w:tc>
        <w:tc>
          <w:tcPr>
            <w:tcW w:w="126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6</w:t>
            </w:r>
          </w:p>
        </w:tc>
        <w:tc>
          <w:tcPr>
            <w:tcW w:w="126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9</w:t>
            </w:r>
          </w:p>
        </w:tc>
        <w:tc>
          <w:tcPr>
            <w:tcW w:w="117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95</w:t>
            </w:r>
          </w:p>
        </w:tc>
      </w:tr>
      <w:tr w:rsidR="008B50C1" w:rsidTr="008B50C1">
        <w:tc>
          <w:tcPr>
            <w:cnfStyle w:val="001000000000" w:firstRow="0" w:lastRow="0" w:firstColumn="1" w:lastColumn="0" w:oddVBand="0" w:evenVBand="0" w:oddHBand="0" w:evenHBand="0" w:firstRowFirstColumn="0" w:firstRowLastColumn="0" w:lastRowFirstColumn="0" w:lastRowLastColumn="0"/>
            <w:tcW w:w="1440" w:type="dxa"/>
          </w:tcPr>
          <w:p w:rsidR="008B50C1" w:rsidRPr="005240EE" w:rsidRDefault="008B50C1" w:rsidP="008B50C1">
            <w:pPr>
              <w:jc w:val="center"/>
              <w:rPr>
                <w:rFonts w:ascii="Arial" w:hAnsi="Arial" w:cs="Arial"/>
                <w:color w:val="000000"/>
                <w:sz w:val="20"/>
                <w:szCs w:val="20"/>
              </w:rPr>
            </w:pPr>
            <w:r w:rsidRPr="005240EE">
              <w:rPr>
                <w:rFonts w:ascii="Arial" w:hAnsi="Arial" w:cs="Arial"/>
                <w:color w:val="000000"/>
                <w:sz w:val="20"/>
                <w:szCs w:val="20"/>
              </w:rPr>
              <w:t>GO:0051960</w:t>
            </w:r>
          </w:p>
        </w:tc>
        <w:tc>
          <w:tcPr>
            <w:tcW w:w="2340" w:type="dxa"/>
          </w:tcPr>
          <w:p w:rsidR="008B50C1" w:rsidRPr="005240EE"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0"/>
              </w:rPr>
            </w:pPr>
            <w:r w:rsidRPr="005240EE">
              <w:rPr>
                <w:rFonts w:ascii="Arial" w:hAnsi="Arial" w:cs="Arial"/>
                <w:b/>
                <w:color w:val="000000"/>
                <w:sz w:val="20"/>
                <w:szCs w:val="20"/>
              </w:rPr>
              <w:t>Regulation of nervous system development</w:t>
            </w:r>
          </w:p>
        </w:tc>
        <w:tc>
          <w:tcPr>
            <w:tcW w:w="99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Cs/>
                <w:color w:val="000000"/>
              </w:rPr>
            </w:pPr>
            <w:r w:rsidRPr="00A4066F">
              <w:rPr>
                <w:rFonts w:ascii="Calibri" w:hAnsi="Calibri" w:cs="Calibri"/>
                <w:bCs/>
                <w:color w:val="000000"/>
              </w:rPr>
              <w:t>1424</w:t>
            </w:r>
          </w:p>
        </w:tc>
        <w:tc>
          <w:tcPr>
            <w:tcW w:w="99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716</w:t>
            </w:r>
          </w:p>
        </w:tc>
        <w:tc>
          <w:tcPr>
            <w:tcW w:w="126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Cs/>
                <w:color w:val="000000"/>
              </w:rPr>
            </w:pPr>
            <w:r w:rsidRPr="00A4066F">
              <w:rPr>
                <w:rFonts w:ascii="Calibri" w:hAnsi="Calibri" w:cs="Calibri"/>
                <w:bCs/>
                <w:color w:val="000000"/>
              </w:rPr>
              <w:t>1676</w:t>
            </w:r>
          </w:p>
        </w:tc>
        <w:tc>
          <w:tcPr>
            <w:tcW w:w="135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110</w:t>
            </w:r>
          </w:p>
        </w:tc>
        <w:tc>
          <w:tcPr>
            <w:tcW w:w="117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132</w:t>
            </w:r>
          </w:p>
        </w:tc>
        <w:tc>
          <w:tcPr>
            <w:tcW w:w="126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261</w:t>
            </w:r>
          </w:p>
        </w:tc>
        <w:tc>
          <w:tcPr>
            <w:tcW w:w="126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1028</w:t>
            </w:r>
          </w:p>
        </w:tc>
        <w:tc>
          <w:tcPr>
            <w:tcW w:w="126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1413</w:t>
            </w:r>
          </w:p>
        </w:tc>
        <w:tc>
          <w:tcPr>
            <w:tcW w:w="117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4620</w:t>
            </w:r>
          </w:p>
        </w:tc>
      </w:tr>
      <w:tr w:rsidR="008B50C1" w:rsidTr="008B50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rsidR="008B50C1" w:rsidRPr="005240EE" w:rsidRDefault="008B50C1" w:rsidP="008B50C1">
            <w:pPr>
              <w:jc w:val="center"/>
              <w:rPr>
                <w:rFonts w:ascii="Arial" w:hAnsi="Arial" w:cs="Arial"/>
                <w:color w:val="000000"/>
                <w:sz w:val="20"/>
                <w:szCs w:val="20"/>
              </w:rPr>
            </w:pPr>
            <w:r w:rsidRPr="005240EE">
              <w:rPr>
                <w:rFonts w:ascii="Arial" w:hAnsi="Arial" w:cs="Arial"/>
                <w:color w:val="000000"/>
                <w:sz w:val="20"/>
                <w:szCs w:val="20"/>
              </w:rPr>
              <w:t>GO:0051962</w:t>
            </w:r>
          </w:p>
        </w:tc>
        <w:tc>
          <w:tcPr>
            <w:tcW w:w="2340" w:type="dxa"/>
          </w:tcPr>
          <w:p w:rsidR="008B50C1" w:rsidRPr="005240EE"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20"/>
                <w:szCs w:val="20"/>
              </w:rPr>
            </w:pPr>
            <w:r w:rsidRPr="005240EE">
              <w:rPr>
                <w:rFonts w:ascii="Arial" w:hAnsi="Arial" w:cs="Arial"/>
                <w:b/>
                <w:color w:val="000000"/>
                <w:sz w:val="20"/>
                <w:szCs w:val="20"/>
              </w:rPr>
              <w:t>Positive regulation of nervous system development</w:t>
            </w:r>
          </w:p>
        </w:tc>
        <w:tc>
          <w:tcPr>
            <w:tcW w:w="99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983</w:t>
            </w:r>
          </w:p>
        </w:tc>
        <w:tc>
          <w:tcPr>
            <w:tcW w:w="99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443</w:t>
            </w:r>
          </w:p>
        </w:tc>
        <w:tc>
          <w:tcPr>
            <w:tcW w:w="126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Cs/>
                <w:color w:val="000000"/>
              </w:rPr>
            </w:pPr>
            <w:r w:rsidRPr="00A4066F">
              <w:rPr>
                <w:rFonts w:ascii="Calibri" w:hAnsi="Calibri" w:cs="Calibri"/>
                <w:bCs/>
                <w:color w:val="000000"/>
              </w:rPr>
              <w:t>1390</w:t>
            </w:r>
          </w:p>
        </w:tc>
        <w:tc>
          <w:tcPr>
            <w:tcW w:w="135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103</w:t>
            </w:r>
          </w:p>
        </w:tc>
        <w:tc>
          <w:tcPr>
            <w:tcW w:w="117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115</w:t>
            </w:r>
          </w:p>
        </w:tc>
        <w:tc>
          <w:tcPr>
            <w:tcW w:w="126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178</w:t>
            </w:r>
          </w:p>
        </w:tc>
        <w:tc>
          <w:tcPr>
            <w:tcW w:w="126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887</w:t>
            </w:r>
          </w:p>
        </w:tc>
        <w:tc>
          <w:tcPr>
            <w:tcW w:w="126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1121</w:t>
            </w:r>
          </w:p>
        </w:tc>
        <w:tc>
          <w:tcPr>
            <w:tcW w:w="117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3794</w:t>
            </w:r>
          </w:p>
        </w:tc>
      </w:tr>
      <w:tr w:rsidR="008B50C1" w:rsidTr="008B50C1">
        <w:tc>
          <w:tcPr>
            <w:cnfStyle w:val="001000000000" w:firstRow="0" w:lastRow="0" w:firstColumn="1" w:lastColumn="0" w:oddVBand="0" w:evenVBand="0" w:oddHBand="0" w:evenHBand="0" w:firstRowFirstColumn="0" w:firstRowLastColumn="0" w:lastRowFirstColumn="0" w:lastRowLastColumn="0"/>
            <w:tcW w:w="1440" w:type="dxa"/>
          </w:tcPr>
          <w:p w:rsidR="008B50C1" w:rsidRPr="005240EE" w:rsidRDefault="008B50C1" w:rsidP="008B50C1">
            <w:pPr>
              <w:jc w:val="center"/>
              <w:rPr>
                <w:rFonts w:ascii="Arial" w:hAnsi="Arial" w:cs="Arial"/>
                <w:color w:val="000000"/>
                <w:sz w:val="20"/>
                <w:szCs w:val="20"/>
              </w:rPr>
            </w:pPr>
            <w:r w:rsidRPr="005240EE">
              <w:rPr>
                <w:rFonts w:ascii="Arial" w:hAnsi="Arial" w:cs="Arial"/>
                <w:color w:val="000000"/>
                <w:sz w:val="20"/>
                <w:szCs w:val="20"/>
              </w:rPr>
              <w:t>GO:0098609</w:t>
            </w:r>
          </w:p>
        </w:tc>
        <w:tc>
          <w:tcPr>
            <w:tcW w:w="2340" w:type="dxa"/>
          </w:tcPr>
          <w:p w:rsidR="008B50C1" w:rsidRPr="005240EE"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0"/>
              </w:rPr>
            </w:pPr>
            <w:r w:rsidRPr="005240EE">
              <w:rPr>
                <w:rFonts w:ascii="Arial" w:hAnsi="Arial" w:cs="Arial"/>
                <w:b/>
                <w:color w:val="000000"/>
                <w:sz w:val="20"/>
                <w:szCs w:val="20"/>
              </w:rPr>
              <w:t>Cell-cell adhesion</w:t>
            </w:r>
          </w:p>
        </w:tc>
        <w:tc>
          <w:tcPr>
            <w:tcW w:w="99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1089</w:t>
            </w:r>
          </w:p>
        </w:tc>
        <w:tc>
          <w:tcPr>
            <w:tcW w:w="99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492</w:t>
            </w:r>
          </w:p>
        </w:tc>
        <w:tc>
          <w:tcPr>
            <w:tcW w:w="126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Cs/>
                <w:color w:val="000000"/>
              </w:rPr>
            </w:pPr>
            <w:r w:rsidRPr="00A4066F">
              <w:rPr>
                <w:rFonts w:ascii="Calibri" w:hAnsi="Calibri" w:cs="Calibri"/>
                <w:bCs/>
                <w:color w:val="000000"/>
              </w:rPr>
              <w:t>787</w:t>
            </w:r>
          </w:p>
        </w:tc>
        <w:tc>
          <w:tcPr>
            <w:tcW w:w="135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77</w:t>
            </w:r>
          </w:p>
        </w:tc>
        <w:tc>
          <w:tcPr>
            <w:tcW w:w="117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51</w:t>
            </w:r>
          </w:p>
        </w:tc>
        <w:tc>
          <w:tcPr>
            <w:tcW w:w="126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135</w:t>
            </w:r>
          </w:p>
        </w:tc>
        <w:tc>
          <w:tcPr>
            <w:tcW w:w="126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491</w:t>
            </w:r>
          </w:p>
        </w:tc>
        <w:tc>
          <w:tcPr>
            <w:tcW w:w="126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707</w:t>
            </w:r>
          </w:p>
        </w:tc>
        <w:tc>
          <w:tcPr>
            <w:tcW w:w="117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2231</w:t>
            </w:r>
          </w:p>
        </w:tc>
      </w:tr>
      <w:tr w:rsidR="008B50C1" w:rsidTr="008B50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rsidR="008B50C1" w:rsidRPr="005240EE" w:rsidRDefault="008B50C1" w:rsidP="008B50C1">
            <w:pPr>
              <w:jc w:val="center"/>
              <w:rPr>
                <w:rFonts w:ascii="Arial" w:hAnsi="Arial" w:cs="Arial"/>
                <w:color w:val="000000"/>
                <w:sz w:val="20"/>
                <w:szCs w:val="20"/>
              </w:rPr>
            </w:pPr>
            <w:r w:rsidRPr="005240EE">
              <w:rPr>
                <w:rFonts w:ascii="Arial" w:hAnsi="Arial" w:cs="Arial"/>
                <w:color w:val="000000"/>
                <w:sz w:val="20"/>
                <w:szCs w:val="20"/>
              </w:rPr>
              <w:t>GO:0098742</w:t>
            </w:r>
          </w:p>
        </w:tc>
        <w:tc>
          <w:tcPr>
            <w:tcW w:w="2340" w:type="dxa"/>
          </w:tcPr>
          <w:p w:rsidR="008B50C1" w:rsidRPr="005240EE"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20"/>
                <w:szCs w:val="20"/>
              </w:rPr>
            </w:pPr>
            <w:r w:rsidRPr="005240EE">
              <w:rPr>
                <w:rFonts w:ascii="Arial" w:hAnsi="Arial" w:cs="Arial"/>
                <w:b/>
                <w:color w:val="000000"/>
                <w:sz w:val="20"/>
                <w:szCs w:val="20"/>
              </w:rPr>
              <w:t>Cell-cell adhesion via plasma-membrane adhesion molecules</w:t>
            </w:r>
          </w:p>
        </w:tc>
        <w:tc>
          <w:tcPr>
            <w:tcW w:w="99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Cs/>
                <w:color w:val="000000"/>
              </w:rPr>
            </w:pPr>
            <w:r w:rsidRPr="00A4066F">
              <w:rPr>
                <w:rFonts w:ascii="Calibri" w:hAnsi="Calibri" w:cs="Calibri"/>
                <w:bCs/>
                <w:color w:val="000000"/>
              </w:rPr>
              <w:t>677</w:t>
            </w:r>
          </w:p>
        </w:tc>
        <w:tc>
          <w:tcPr>
            <w:tcW w:w="99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199</w:t>
            </w:r>
          </w:p>
        </w:tc>
        <w:tc>
          <w:tcPr>
            <w:tcW w:w="126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Cs/>
                <w:color w:val="000000"/>
              </w:rPr>
            </w:pPr>
            <w:r w:rsidRPr="00A4066F">
              <w:rPr>
                <w:rFonts w:ascii="Calibri" w:hAnsi="Calibri" w:cs="Calibri"/>
                <w:bCs/>
                <w:color w:val="000000"/>
              </w:rPr>
              <w:t>375</w:t>
            </w:r>
          </w:p>
        </w:tc>
        <w:tc>
          <w:tcPr>
            <w:tcW w:w="135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46</w:t>
            </w:r>
          </w:p>
        </w:tc>
        <w:tc>
          <w:tcPr>
            <w:tcW w:w="117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44</w:t>
            </w:r>
          </w:p>
        </w:tc>
        <w:tc>
          <w:tcPr>
            <w:tcW w:w="126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52</w:t>
            </w:r>
          </w:p>
        </w:tc>
        <w:tc>
          <w:tcPr>
            <w:tcW w:w="126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299</w:t>
            </w:r>
          </w:p>
        </w:tc>
        <w:tc>
          <w:tcPr>
            <w:tcW w:w="126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326</w:t>
            </w:r>
          </w:p>
        </w:tc>
        <w:tc>
          <w:tcPr>
            <w:tcW w:w="117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1142</w:t>
            </w:r>
          </w:p>
        </w:tc>
      </w:tr>
      <w:tr w:rsidR="008B50C1" w:rsidTr="008B50C1">
        <w:tc>
          <w:tcPr>
            <w:cnfStyle w:val="001000000000" w:firstRow="0" w:lastRow="0" w:firstColumn="1" w:lastColumn="0" w:oddVBand="0" w:evenVBand="0" w:oddHBand="0" w:evenHBand="0" w:firstRowFirstColumn="0" w:firstRowLastColumn="0" w:lastRowFirstColumn="0" w:lastRowLastColumn="0"/>
            <w:tcW w:w="1440" w:type="dxa"/>
          </w:tcPr>
          <w:p w:rsidR="008B50C1" w:rsidRPr="005240EE" w:rsidRDefault="008B50C1" w:rsidP="008B50C1">
            <w:pPr>
              <w:jc w:val="center"/>
              <w:rPr>
                <w:rFonts w:ascii="Arial" w:hAnsi="Arial" w:cs="Arial"/>
                <w:color w:val="000000"/>
                <w:sz w:val="20"/>
                <w:szCs w:val="20"/>
              </w:rPr>
            </w:pPr>
            <w:r w:rsidRPr="005240EE">
              <w:rPr>
                <w:rFonts w:ascii="Arial" w:hAnsi="Arial" w:cs="Arial"/>
                <w:color w:val="000000"/>
                <w:sz w:val="20"/>
                <w:szCs w:val="20"/>
              </w:rPr>
              <w:t>GO:0099537</w:t>
            </w:r>
          </w:p>
        </w:tc>
        <w:tc>
          <w:tcPr>
            <w:tcW w:w="2340" w:type="dxa"/>
          </w:tcPr>
          <w:p w:rsidR="008B50C1" w:rsidRPr="005240EE"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0"/>
              </w:rPr>
            </w:pPr>
            <w:r w:rsidRPr="005240EE">
              <w:rPr>
                <w:rFonts w:ascii="Arial" w:hAnsi="Arial" w:cs="Arial"/>
                <w:b/>
                <w:color w:val="000000"/>
                <w:sz w:val="20"/>
                <w:szCs w:val="20"/>
              </w:rPr>
              <w:t>Trans-synaptic signaling</w:t>
            </w:r>
          </w:p>
        </w:tc>
        <w:tc>
          <w:tcPr>
            <w:tcW w:w="99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616</w:t>
            </w:r>
          </w:p>
        </w:tc>
        <w:tc>
          <w:tcPr>
            <w:tcW w:w="99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344</w:t>
            </w:r>
          </w:p>
        </w:tc>
        <w:tc>
          <w:tcPr>
            <w:tcW w:w="126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Cs/>
                <w:color w:val="000000"/>
              </w:rPr>
            </w:pPr>
            <w:r w:rsidRPr="00A4066F">
              <w:rPr>
                <w:rFonts w:ascii="Calibri" w:hAnsi="Calibri" w:cs="Calibri"/>
                <w:bCs/>
                <w:color w:val="000000"/>
              </w:rPr>
              <w:t>919</w:t>
            </w:r>
          </w:p>
        </w:tc>
        <w:tc>
          <w:tcPr>
            <w:tcW w:w="135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112</w:t>
            </w:r>
          </w:p>
        </w:tc>
        <w:tc>
          <w:tcPr>
            <w:tcW w:w="117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146</w:t>
            </w:r>
          </w:p>
        </w:tc>
        <w:tc>
          <w:tcPr>
            <w:tcW w:w="126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142</w:t>
            </w:r>
          </w:p>
        </w:tc>
        <w:tc>
          <w:tcPr>
            <w:tcW w:w="126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599</w:t>
            </w:r>
          </w:p>
        </w:tc>
        <w:tc>
          <w:tcPr>
            <w:tcW w:w="126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781</w:t>
            </w:r>
          </w:p>
        </w:tc>
        <w:tc>
          <w:tcPr>
            <w:tcW w:w="117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2699</w:t>
            </w:r>
          </w:p>
        </w:tc>
      </w:tr>
      <w:tr w:rsidR="008B50C1" w:rsidTr="008B50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rsidR="008B50C1" w:rsidRPr="005240EE" w:rsidRDefault="008B50C1" w:rsidP="008B50C1">
            <w:pPr>
              <w:jc w:val="center"/>
              <w:rPr>
                <w:rFonts w:ascii="Arial" w:hAnsi="Arial" w:cs="Arial"/>
                <w:color w:val="000000"/>
                <w:sz w:val="20"/>
                <w:szCs w:val="20"/>
              </w:rPr>
            </w:pPr>
            <w:r w:rsidRPr="005240EE">
              <w:rPr>
                <w:rFonts w:ascii="Arial" w:hAnsi="Arial" w:cs="Arial"/>
                <w:color w:val="000000"/>
                <w:sz w:val="20"/>
                <w:szCs w:val="20"/>
              </w:rPr>
              <w:t>GO:0007268</w:t>
            </w:r>
          </w:p>
        </w:tc>
        <w:tc>
          <w:tcPr>
            <w:tcW w:w="2340" w:type="dxa"/>
          </w:tcPr>
          <w:p w:rsidR="008B50C1" w:rsidRPr="005240EE"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20"/>
                <w:szCs w:val="20"/>
              </w:rPr>
            </w:pPr>
            <w:r w:rsidRPr="005240EE">
              <w:rPr>
                <w:rFonts w:ascii="Arial" w:hAnsi="Arial" w:cs="Arial"/>
                <w:b/>
                <w:color w:val="000000"/>
                <w:sz w:val="20"/>
                <w:szCs w:val="20"/>
              </w:rPr>
              <w:t>Chemical synaptic transmission</w:t>
            </w:r>
          </w:p>
        </w:tc>
        <w:tc>
          <w:tcPr>
            <w:tcW w:w="99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Cs/>
                <w:color w:val="000000"/>
              </w:rPr>
            </w:pPr>
            <w:r w:rsidRPr="00A4066F">
              <w:rPr>
                <w:rFonts w:ascii="Calibri" w:hAnsi="Calibri" w:cs="Calibri"/>
                <w:bCs/>
                <w:color w:val="000000"/>
              </w:rPr>
              <w:t>604</w:t>
            </w:r>
          </w:p>
        </w:tc>
        <w:tc>
          <w:tcPr>
            <w:tcW w:w="99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332</w:t>
            </w:r>
          </w:p>
        </w:tc>
        <w:tc>
          <w:tcPr>
            <w:tcW w:w="126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Cs/>
                <w:color w:val="000000"/>
              </w:rPr>
            </w:pPr>
            <w:r w:rsidRPr="00A4066F">
              <w:rPr>
                <w:rFonts w:ascii="Calibri" w:hAnsi="Calibri" w:cs="Calibri"/>
                <w:bCs/>
                <w:color w:val="000000"/>
              </w:rPr>
              <w:t>888</w:t>
            </w:r>
          </w:p>
        </w:tc>
        <w:tc>
          <w:tcPr>
            <w:tcW w:w="135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110</w:t>
            </w:r>
          </w:p>
        </w:tc>
        <w:tc>
          <w:tcPr>
            <w:tcW w:w="117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145</w:t>
            </w:r>
          </w:p>
        </w:tc>
        <w:tc>
          <w:tcPr>
            <w:tcW w:w="126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142</w:t>
            </w:r>
          </w:p>
        </w:tc>
        <w:tc>
          <w:tcPr>
            <w:tcW w:w="126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564</w:t>
            </w:r>
          </w:p>
        </w:tc>
        <w:tc>
          <w:tcPr>
            <w:tcW w:w="126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725</w:t>
            </w:r>
          </w:p>
        </w:tc>
        <w:tc>
          <w:tcPr>
            <w:tcW w:w="117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2574</w:t>
            </w:r>
          </w:p>
        </w:tc>
      </w:tr>
      <w:tr w:rsidR="008B50C1" w:rsidTr="008B50C1">
        <w:tc>
          <w:tcPr>
            <w:cnfStyle w:val="001000000000" w:firstRow="0" w:lastRow="0" w:firstColumn="1" w:lastColumn="0" w:oddVBand="0" w:evenVBand="0" w:oddHBand="0" w:evenHBand="0" w:firstRowFirstColumn="0" w:firstRowLastColumn="0" w:lastRowFirstColumn="0" w:lastRowLastColumn="0"/>
            <w:tcW w:w="1440" w:type="dxa"/>
          </w:tcPr>
          <w:p w:rsidR="008B50C1" w:rsidRPr="005240EE" w:rsidRDefault="008B50C1" w:rsidP="008B50C1">
            <w:pPr>
              <w:jc w:val="center"/>
              <w:rPr>
                <w:rFonts w:ascii="Arial" w:hAnsi="Arial" w:cs="Arial"/>
                <w:color w:val="000000"/>
                <w:sz w:val="20"/>
                <w:szCs w:val="20"/>
              </w:rPr>
            </w:pPr>
            <w:r w:rsidRPr="005240EE">
              <w:rPr>
                <w:rFonts w:ascii="Arial" w:hAnsi="Arial" w:cs="Arial"/>
                <w:color w:val="000000"/>
                <w:sz w:val="20"/>
                <w:szCs w:val="20"/>
              </w:rPr>
              <w:t>GO:0050804</w:t>
            </w:r>
          </w:p>
        </w:tc>
        <w:tc>
          <w:tcPr>
            <w:tcW w:w="2340" w:type="dxa"/>
          </w:tcPr>
          <w:p w:rsidR="008B50C1" w:rsidRPr="005240EE"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0"/>
              </w:rPr>
            </w:pPr>
            <w:r w:rsidRPr="005240EE">
              <w:rPr>
                <w:rFonts w:ascii="Arial" w:hAnsi="Arial" w:cs="Arial"/>
                <w:b/>
                <w:color w:val="000000"/>
                <w:sz w:val="20"/>
                <w:szCs w:val="20"/>
              </w:rPr>
              <w:t>Modulation of synaptic transmission</w:t>
            </w:r>
          </w:p>
        </w:tc>
        <w:tc>
          <w:tcPr>
            <w:tcW w:w="99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Cs/>
                <w:color w:val="000000"/>
              </w:rPr>
            </w:pPr>
            <w:r w:rsidRPr="00A4066F">
              <w:rPr>
                <w:rFonts w:ascii="Calibri" w:hAnsi="Calibri" w:cs="Calibri"/>
                <w:bCs/>
                <w:color w:val="000000"/>
              </w:rPr>
              <w:t>529</w:t>
            </w:r>
          </w:p>
        </w:tc>
        <w:tc>
          <w:tcPr>
            <w:tcW w:w="99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298</w:t>
            </w:r>
          </w:p>
        </w:tc>
        <w:tc>
          <w:tcPr>
            <w:tcW w:w="126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Cs/>
                <w:color w:val="000000"/>
              </w:rPr>
            </w:pPr>
            <w:r w:rsidRPr="00A4066F">
              <w:rPr>
                <w:rFonts w:ascii="Calibri" w:hAnsi="Calibri" w:cs="Calibri"/>
                <w:bCs/>
                <w:color w:val="000000"/>
              </w:rPr>
              <w:t>1253</w:t>
            </w:r>
          </w:p>
        </w:tc>
        <w:tc>
          <w:tcPr>
            <w:tcW w:w="135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118</w:t>
            </w:r>
          </w:p>
        </w:tc>
        <w:tc>
          <w:tcPr>
            <w:tcW w:w="117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161</w:t>
            </w:r>
          </w:p>
        </w:tc>
        <w:tc>
          <w:tcPr>
            <w:tcW w:w="126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154</w:t>
            </w:r>
          </w:p>
        </w:tc>
        <w:tc>
          <w:tcPr>
            <w:tcW w:w="126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625</w:t>
            </w:r>
          </w:p>
        </w:tc>
        <w:tc>
          <w:tcPr>
            <w:tcW w:w="126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768</w:t>
            </w:r>
          </w:p>
        </w:tc>
        <w:tc>
          <w:tcPr>
            <w:tcW w:w="117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3079</w:t>
            </w:r>
          </w:p>
        </w:tc>
      </w:tr>
      <w:tr w:rsidR="008B50C1" w:rsidTr="008B50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rsidR="008B50C1" w:rsidRPr="005240EE" w:rsidRDefault="008B50C1" w:rsidP="008B50C1">
            <w:pPr>
              <w:jc w:val="center"/>
              <w:rPr>
                <w:rFonts w:ascii="Arial" w:hAnsi="Arial" w:cs="Arial"/>
                <w:color w:val="000000"/>
                <w:sz w:val="20"/>
                <w:szCs w:val="20"/>
              </w:rPr>
            </w:pPr>
            <w:r w:rsidRPr="005240EE">
              <w:rPr>
                <w:rFonts w:ascii="Arial" w:hAnsi="Arial" w:cs="Arial"/>
                <w:color w:val="000000"/>
                <w:sz w:val="20"/>
                <w:szCs w:val="20"/>
              </w:rPr>
              <w:t>GO:0044708</w:t>
            </w:r>
          </w:p>
        </w:tc>
        <w:tc>
          <w:tcPr>
            <w:tcW w:w="2340" w:type="dxa"/>
          </w:tcPr>
          <w:p w:rsidR="008B50C1" w:rsidRPr="005240EE"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20"/>
                <w:szCs w:val="20"/>
              </w:rPr>
            </w:pPr>
            <w:r w:rsidRPr="005240EE">
              <w:rPr>
                <w:rFonts w:ascii="Arial" w:hAnsi="Arial" w:cs="Arial"/>
                <w:b/>
                <w:color w:val="000000"/>
                <w:sz w:val="20"/>
                <w:szCs w:val="20"/>
              </w:rPr>
              <w:t>Single organism behavior</w:t>
            </w:r>
          </w:p>
        </w:tc>
        <w:tc>
          <w:tcPr>
            <w:tcW w:w="99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674</w:t>
            </w:r>
          </w:p>
        </w:tc>
        <w:tc>
          <w:tcPr>
            <w:tcW w:w="99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372</w:t>
            </w:r>
          </w:p>
        </w:tc>
        <w:tc>
          <w:tcPr>
            <w:tcW w:w="126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Cs/>
                <w:color w:val="000000"/>
              </w:rPr>
            </w:pPr>
            <w:r w:rsidRPr="00A4066F">
              <w:rPr>
                <w:rFonts w:ascii="Calibri" w:hAnsi="Calibri" w:cs="Calibri"/>
                <w:bCs/>
                <w:color w:val="000000"/>
              </w:rPr>
              <w:t>1336</w:t>
            </w:r>
          </w:p>
        </w:tc>
        <w:tc>
          <w:tcPr>
            <w:tcW w:w="135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91</w:t>
            </w:r>
          </w:p>
        </w:tc>
        <w:tc>
          <w:tcPr>
            <w:tcW w:w="117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111</w:t>
            </w:r>
          </w:p>
        </w:tc>
        <w:tc>
          <w:tcPr>
            <w:tcW w:w="126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196</w:t>
            </w:r>
          </w:p>
        </w:tc>
        <w:tc>
          <w:tcPr>
            <w:tcW w:w="126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718</w:t>
            </w:r>
          </w:p>
        </w:tc>
        <w:tc>
          <w:tcPr>
            <w:tcW w:w="126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843</w:t>
            </w:r>
          </w:p>
        </w:tc>
        <w:tc>
          <w:tcPr>
            <w:tcW w:w="117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3295</w:t>
            </w:r>
          </w:p>
        </w:tc>
      </w:tr>
      <w:tr w:rsidR="008B50C1" w:rsidTr="008B50C1">
        <w:tc>
          <w:tcPr>
            <w:cnfStyle w:val="001000000000" w:firstRow="0" w:lastRow="0" w:firstColumn="1" w:lastColumn="0" w:oddVBand="0" w:evenVBand="0" w:oddHBand="0" w:evenHBand="0" w:firstRowFirstColumn="0" w:firstRowLastColumn="0" w:lastRowFirstColumn="0" w:lastRowLastColumn="0"/>
            <w:tcW w:w="1440" w:type="dxa"/>
          </w:tcPr>
          <w:p w:rsidR="008B50C1" w:rsidRPr="005240EE" w:rsidRDefault="008B50C1" w:rsidP="008B50C1">
            <w:pPr>
              <w:jc w:val="center"/>
              <w:rPr>
                <w:rFonts w:ascii="Arial" w:hAnsi="Arial" w:cs="Arial"/>
                <w:color w:val="000000"/>
                <w:sz w:val="20"/>
                <w:szCs w:val="20"/>
              </w:rPr>
            </w:pPr>
            <w:r w:rsidRPr="005240EE">
              <w:rPr>
                <w:rFonts w:ascii="Arial" w:hAnsi="Arial" w:cs="Arial"/>
                <w:color w:val="000000"/>
                <w:sz w:val="20"/>
                <w:szCs w:val="20"/>
              </w:rPr>
              <w:t>GO:0042391</w:t>
            </w:r>
          </w:p>
        </w:tc>
        <w:tc>
          <w:tcPr>
            <w:tcW w:w="2340" w:type="dxa"/>
          </w:tcPr>
          <w:p w:rsidR="008B50C1" w:rsidRPr="005240EE"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0"/>
              </w:rPr>
            </w:pPr>
            <w:r w:rsidRPr="005240EE">
              <w:rPr>
                <w:rFonts w:ascii="Arial" w:hAnsi="Arial" w:cs="Arial"/>
                <w:b/>
                <w:color w:val="000000"/>
                <w:sz w:val="20"/>
                <w:szCs w:val="20"/>
              </w:rPr>
              <w:t>Regulation of membrane potential</w:t>
            </w:r>
          </w:p>
        </w:tc>
        <w:tc>
          <w:tcPr>
            <w:tcW w:w="99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Cs/>
                <w:color w:val="000000"/>
              </w:rPr>
            </w:pPr>
            <w:r w:rsidRPr="00A4066F">
              <w:rPr>
                <w:rFonts w:ascii="Calibri" w:hAnsi="Calibri" w:cs="Calibri"/>
                <w:bCs/>
                <w:color w:val="000000"/>
              </w:rPr>
              <w:t>592</w:t>
            </w:r>
          </w:p>
        </w:tc>
        <w:tc>
          <w:tcPr>
            <w:tcW w:w="99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340</w:t>
            </w:r>
          </w:p>
        </w:tc>
        <w:tc>
          <w:tcPr>
            <w:tcW w:w="126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Cs/>
                <w:color w:val="000000"/>
              </w:rPr>
            </w:pPr>
            <w:r w:rsidRPr="00A4066F">
              <w:rPr>
                <w:rFonts w:ascii="Calibri" w:hAnsi="Calibri" w:cs="Calibri"/>
                <w:bCs/>
                <w:color w:val="000000"/>
              </w:rPr>
              <w:t>1315</w:t>
            </w:r>
          </w:p>
        </w:tc>
        <w:tc>
          <w:tcPr>
            <w:tcW w:w="135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145</w:t>
            </w:r>
          </w:p>
        </w:tc>
        <w:tc>
          <w:tcPr>
            <w:tcW w:w="117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203</w:t>
            </w:r>
          </w:p>
        </w:tc>
        <w:tc>
          <w:tcPr>
            <w:tcW w:w="126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387</w:t>
            </w:r>
          </w:p>
        </w:tc>
        <w:tc>
          <w:tcPr>
            <w:tcW w:w="126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732</w:t>
            </w:r>
          </w:p>
        </w:tc>
        <w:tc>
          <w:tcPr>
            <w:tcW w:w="126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822</w:t>
            </w:r>
          </w:p>
        </w:tc>
        <w:tc>
          <w:tcPr>
            <w:tcW w:w="117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3604</w:t>
            </w:r>
          </w:p>
        </w:tc>
      </w:tr>
      <w:tr w:rsidR="008B50C1" w:rsidTr="008B50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rsidR="008B50C1" w:rsidRPr="005240EE" w:rsidRDefault="008B50C1" w:rsidP="008B50C1">
            <w:pPr>
              <w:jc w:val="center"/>
              <w:rPr>
                <w:rFonts w:ascii="Arial" w:hAnsi="Arial" w:cs="Arial"/>
                <w:color w:val="000000"/>
                <w:sz w:val="20"/>
                <w:szCs w:val="20"/>
              </w:rPr>
            </w:pPr>
            <w:r w:rsidRPr="005240EE">
              <w:rPr>
                <w:rFonts w:ascii="Arial" w:hAnsi="Arial" w:cs="Arial"/>
                <w:color w:val="000000"/>
                <w:sz w:val="20"/>
                <w:szCs w:val="20"/>
              </w:rPr>
              <w:t>GO:1901137</w:t>
            </w:r>
          </w:p>
        </w:tc>
        <w:tc>
          <w:tcPr>
            <w:tcW w:w="2340" w:type="dxa"/>
          </w:tcPr>
          <w:p w:rsidR="008B50C1" w:rsidRPr="005240EE"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20"/>
                <w:szCs w:val="20"/>
              </w:rPr>
            </w:pPr>
            <w:r w:rsidRPr="005240EE">
              <w:rPr>
                <w:rFonts w:ascii="Arial" w:hAnsi="Arial" w:cs="Arial"/>
                <w:b/>
                <w:color w:val="000000"/>
                <w:sz w:val="20"/>
                <w:szCs w:val="20"/>
              </w:rPr>
              <w:t>Carbohydrate derivative biosynthetic process</w:t>
            </w:r>
          </w:p>
        </w:tc>
        <w:tc>
          <w:tcPr>
            <w:tcW w:w="99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678</w:t>
            </w:r>
          </w:p>
        </w:tc>
        <w:tc>
          <w:tcPr>
            <w:tcW w:w="99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448</w:t>
            </w:r>
          </w:p>
        </w:tc>
        <w:tc>
          <w:tcPr>
            <w:tcW w:w="126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Cs/>
                <w:color w:val="000000"/>
              </w:rPr>
            </w:pPr>
            <w:r w:rsidRPr="00A4066F">
              <w:rPr>
                <w:rFonts w:ascii="Calibri" w:hAnsi="Calibri" w:cs="Calibri"/>
                <w:bCs/>
                <w:color w:val="000000"/>
              </w:rPr>
              <w:t>526</w:t>
            </w:r>
          </w:p>
        </w:tc>
        <w:tc>
          <w:tcPr>
            <w:tcW w:w="135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41</w:t>
            </w:r>
          </w:p>
        </w:tc>
        <w:tc>
          <w:tcPr>
            <w:tcW w:w="117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148</w:t>
            </w:r>
          </w:p>
        </w:tc>
        <w:tc>
          <w:tcPr>
            <w:tcW w:w="126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70</w:t>
            </w:r>
          </w:p>
        </w:tc>
        <w:tc>
          <w:tcPr>
            <w:tcW w:w="126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218</w:t>
            </w:r>
          </w:p>
        </w:tc>
        <w:tc>
          <w:tcPr>
            <w:tcW w:w="126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249</w:t>
            </w:r>
          </w:p>
        </w:tc>
        <w:tc>
          <w:tcPr>
            <w:tcW w:w="117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1252</w:t>
            </w:r>
          </w:p>
        </w:tc>
      </w:tr>
      <w:tr w:rsidR="008B50C1" w:rsidTr="008B50C1">
        <w:tc>
          <w:tcPr>
            <w:cnfStyle w:val="001000000000" w:firstRow="0" w:lastRow="0" w:firstColumn="1" w:lastColumn="0" w:oddVBand="0" w:evenVBand="0" w:oddHBand="0" w:evenHBand="0" w:firstRowFirstColumn="0" w:firstRowLastColumn="0" w:lastRowFirstColumn="0" w:lastRowLastColumn="0"/>
            <w:tcW w:w="1440" w:type="dxa"/>
          </w:tcPr>
          <w:p w:rsidR="008B50C1" w:rsidRPr="005240EE" w:rsidRDefault="008B50C1" w:rsidP="008B50C1">
            <w:pPr>
              <w:jc w:val="center"/>
              <w:rPr>
                <w:rFonts w:ascii="Arial" w:hAnsi="Arial" w:cs="Arial"/>
                <w:color w:val="000000"/>
                <w:sz w:val="20"/>
                <w:szCs w:val="20"/>
              </w:rPr>
            </w:pPr>
            <w:r w:rsidRPr="005240EE">
              <w:rPr>
                <w:rFonts w:ascii="Arial" w:hAnsi="Arial" w:cs="Arial"/>
                <w:color w:val="000000"/>
                <w:sz w:val="20"/>
                <w:szCs w:val="20"/>
              </w:rPr>
              <w:t>GO:0043005</w:t>
            </w:r>
          </w:p>
        </w:tc>
        <w:tc>
          <w:tcPr>
            <w:tcW w:w="2340" w:type="dxa"/>
          </w:tcPr>
          <w:p w:rsidR="008B50C1" w:rsidRPr="005240EE"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0"/>
              </w:rPr>
            </w:pPr>
            <w:r w:rsidRPr="005240EE">
              <w:rPr>
                <w:rFonts w:ascii="Arial" w:hAnsi="Arial" w:cs="Arial"/>
                <w:b/>
                <w:color w:val="000000"/>
                <w:sz w:val="20"/>
                <w:szCs w:val="20"/>
              </w:rPr>
              <w:t>Neuron projection</w:t>
            </w:r>
          </w:p>
        </w:tc>
        <w:tc>
          <w:tcPr>
            <w:tcW w:w="99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1486</w:t>
            </w:r>
          </w:p>
        </w:tc>
        <w:tc>
          <w:tcPr>
            <w:tcW w:w="99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805</w:t>
            </w:r>
          </w:p>
        </w:tc>
        <w:tc>
          <w:tcPr>
            <w:tcW w:w="126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1526</w:t>
            </w:r>
          </w:p>
        </w:tc>
        <w:tc>
          <w:tcPr>
            <w:tcW w:w="135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Cs/>
                <w:color w:val="000000"/>
              </w:rPr>
            </w:pPr>
            <w:r w:rsidRPr="00A4066F">
              <w:rPr>
                <w:rFonts w:ascii="Calibri" w:hAnsi="Calibri" w:cs="Calibri"/>
                <w:bCs/>
                <w:color w:val="000000"/>
              </w:rPr>
              <w:t>188</w:t>
            </w:r>
          </w:p>
        </w:tc>
        <w:tc>
          <w:tcPr>
            <w:tcW w:w="117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200</w:t>
            </w:r>
          </w:p>
        </w:tc>
        <w:tc>
          <w:tcPr>
            <w:tcW w:w="126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163</w:t>
            </w:r>
          </w:p>
        </w:tc>
        <w:tc>
          <w:tcPr>
            <w:tcW w:w="126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868</w:t>
            </w:r>
          </w:p>
        </w:tc>
        <w:tc>
          <w:tcPr>
            <w:tcW w:w="126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981</w:t>
            </w:r>
          </w:p>
        </w:tc>
        <w:tc>
          <w:tcPr>
            <w:tcW w:w="117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3926</w:t>
            </w:r>
          </w:p>
        </w:tc>
      </w:tr>
      <w:tr w:rsidR="008B50C1" w:rsidTr="008B50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vAlign w:val="bottom"/>
          </w:tcPr>
          <w:p w:rsidR="008B50C1" w:rsidRPr="000E5E1D" w:rsidRDefault="008B50C1" w:rsidP="008B50C1">
            <w:pPr>
              <w:jc w:val="center"/>
              <w:rPr>
                <w:rFonts w:ascii="Arial" w:hAnsi="Arial" w:cs="Arial"/>
                <w:color w:val="000000"/>
                <w:sz w:val="20"/>
              </w:rPr>
            </w:pPr>
            <w:r w:rsidRPr="000E5E1D">
              <w:rPr>
                <w:rFonts w:ascii="Arial" w:hAnsi="Arial" w:cs="Arial"/>
                <w:color w:val="000000"/>
                <w:sz w:val="20"/>
              </w:rPr>
              <w:t>GO:0098590</w:t>
            </w:r>
          </w:p>
          <w:p w:rsidR="008B50C1" w:rsidRPr="000E5E1D" w:rsidRDefault="008B50C1" w:rsidP="008B50C1">
            <w:pPr>
              <w:jc w:val="center"/>
              <w:rPr>
                <w:rFonts w:ascii="Arial" w:hAnsi="Arial" w:cs="Arial"/>
                <w:color w:val="000000"/>
                <w:sz w:val="20"/>
              </w:rPr>
            </w:pPr>
          </w:p>
        </w:tc>
        <w:tc>
          <w:tcPr>
            <w:tcW w:w="2340" w:type="dxa"/>
            <w:vAlign w:val="bottom"/>
          </w:tcPr>
          <w:p w:rsidR="008B50C1" w:rsidRPr="000E5E1D"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20"/>
              </w:rPr>
            </w:pPr>
            <w:r w:rsidRPr="000E5E1D">
              <w:rPr>
                <w:rFonts w:ascii="Arial" w:hAnsi="Arial" w:cs="Arial"/>
                <w:b/>
                <w:bCs/>
                <w:color w:val="000000"/>
                <w:sz w:val="20"/>
              </w:rPr>
              <w:t>Plasma membrane region</w:t>
            </w:r>
          </w:p>
        </w:tc>
        <w:tc>
          <w:tcPr>
            <w:tcW w:w="990" w:type="dxa"/>
            <w:vAlign w:val="bottom"/>
          </w:tcPr>
          <w:p w:rsidR="008B50C1" w:rsidRPr="000E5E1D"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r w:rsidRPr="000E5E1D">
              <w:rPr>
                <w:rFonts w:ascii="Arial" w:hAnsi="Arial" w:cs="Arial"/>
                <w:color w:val="000000"/>
                <w:sz w:val="20"/>
              </w:rPr>
              <w:t>1310</w:t>
            </w:r>
          </w:p>
        </w:tc>
        <w:tc>
          <w:tcPr>
            <w:tcW w:w="990" w:type="dxa"/>
            <w:vAlign w:val="bottom"/>
          </w:tcPr>
          <w:p w:rsidR="008B50C1" w:rsidRPr="000E5E1D"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r w:rsidRPr="000E5E1D">
              <w:rPr>
                <w:rFonts w:ascii="Arial" w:hAnsi="Arial" w:cs="Arial"/>
                <w:color w:val="000000"/>
                <w:sz w:val="20"/>
              </w:rPr>
              <w:t>788</w:t>
            </w:r>
          </w:p>
        </w:tc>
        <w:tc>
          <w:tcPr>
            <w:tcW w:w="1260" w:type="dxa"/>
            <w:vAlign w:val="bottom"/>
          </w:tcPr>
          <w:p w:rsidR="008B50C1" w:rsidRPr="000E5E1D"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r w:rsidRPr="000E5E1D">
              <w:rPr>
                <w:rFonts w:ascii="Arial" w:hAnsi="Arial" w:cs="Arial"/>
                <w:color w:val="000000"/>
                <w:sz w:val="20"/>
              </w:rPr>
              <w:t>1016</w:t>
            </w:r>
          </w:p>
        </w:tc>
        <w:tc>
          <w:tcPr>
            <w:tcW w:w="1350" w:type="dxa"/>
            <w:vAlign w:val="bottom"/>
          </w:tcPr>
          <w:p w:rsidR="008B50C1" w:rsidRPr="000E5E1D"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20"/>
              </w:rPr>
            </w:pPr>
            <w:r w:rsidRPr="000E5E1D">
              <w:rPr>
                <w:rFonts w:ascii="Arial" w:hAnsi="Arial" w:cs="Arial"/>
                <w:bCs/>
                <w:color w:val="000000"/>
                <w:sz w:val="20"/>
              </w:rPr>
              <w:t>193</w:t>
            </w:r>
          </w:p>
        </w:tc>
        <w:tc>
          <w:tcPr>
            <w:tcW w:w="1170" w:type="dxa"/>
            <w:vAlign w:val="bottom"/>
          </w:tcPr>
          <w:p w:rsidR="008B50C1" w:rsidRPr="000E5E1D"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r w:rsidRPr="000E5E1D">
              <w:rPr>
                <w:rFonts w:ascii="Arial" w:hAnsi="Arial" w:cs="Arial"/>
                <w:color w:val="000000"/>
                <w:sz w:val="20"/>
              </w:rPr>
              <w:t>247</w:t>
            </w:r>
          </w:p>
        </w:tc>
        <w:tc>
          <w:tcPr>
            <w:tcW w:w="1260" w:type="dxa"/>
            <w:vAlign w:val="bottom"/>
          </w:tcPr>
          <w:p w:rsidR="008B50C1" w:rsidRPr="000E5E1D"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r w:rsidRPr="000E5E1D">
              <w:rPr>
                <w:rFonts w:ascii="Arial" w:hAnsi="Arial" w:cs="Arial"/>
                <w:color w:val="000000"/>
                <w:sz w:val="20"/>
              </w:rPr>
              <w:t>75</w:t>
            </w:r>
          </w:p>
        </w:tc>
        <w:tc>
          <w:tcPr>
            <w:tcW w:w="1260" w:type="dxa"/>
            <w:vAlign w:val="bottom"/>
          </w:tcPr>
          <w:p w:rsidR="008B50C1" w:rsidRPr="000E5E1D"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r w:rsidRPr="000E5E1D">
              <w:rPr>
                <w:rFonts w:ascii="Arial" w:hAnsi="Arial" w:cs="Arial"/>
                <w:color w:val="000000"/>
                <w:sz w:val="20"/>
              </w:rPr>
              <w:t>642</w:t>
            </w:r>
          </w:p>
        </w:tc>
        <w:tc>
          <w:tcPr>
            <w:tcW w:w="1260" w:type="dxa"/>
            <w:vAlign w:val="bottom"/>
          </w:tcPr>
          <w:p w:rsidR="008B50C1" w:rsidRPr="000E5E1D"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r w:rsidRPr="000E5E1D">
              <w:rPr>
                <w:rFonts w:ascii="Arial" w:hAnsi="Arial" w:cs="Arial"/>
                <w:color w:val="000000"/>
                <w:sz w:val="20"/>
              </w:rPr>
              <w:t>833</w:t>
            </w:r>
          </w:p>
        </w:tc>
        <w:tc>
          <w:tcPr>
            <w:tcW w:w="1170" w:type="dxa"/>
            <w:vAlign w:val="bottom"/>
          </w:tcPr>
          <w:p w:rsidR="008B50C1" w:rsidRPr="000E5E1D"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r w:rsidRPr="000E5E1D">
              <w:rPr>
                <w:rFonts w:ascii="Arial" w:hAnsi="Arial" w:cs="Arial"/>
                <w:color w:val="000000"/>
                <w:sz w:val="20"/>
              </w:rPr>
              <w:t>3006</w:t>
            </w:r>
          </w:p>
        </w:tc>
      </w:tr>
      <w:tr w:rsidR="008B50C1" w:rsidTr="008B50C1">
        <w:tc>
          <w:tcPr>
            <w:cnfStyle w:val="001000000000" w:firstRow="0" w:lastRow="0" w:firstColumn="1" w:lastColumn="0" w:oddVBand="0" w:evenVBand="0" w:oddHBand="0" w:evenHBand="0" w:firstRowFirstColumn="0" w:firstRowLastColumn="0" w:lastRowFirstColumn="0" w:lastRowLastColumn="0"/>
            <w:tcW w:w="1440" w:type="dxa"/>
          </w:tcPr>
          <w:p w:rsidR="008B50C1" w:rsidRPr="005240EE" w:rsidRDefault="008B50C1" w:rsidP="008B50C1">
            <w:pPr>
              <w:jc w:val="center"/>
              <w:rPr>
                <w:rFonts w:ascii="Arial" w:hAnsi="Arial" w:cs="Arial"/>
                <w:color w:val="000000"/>
                <w:sz w:val="20"/>
                <w:szCs w:val="20"/>
              </w:rPr>
            </w:pPr>
            <w:r w:rsidRPr="005240EE">
              <w:rPr>
                <w:rFonts w:ascii="Arial" w:hAnsi="Arial" w:cs="Arial"/>
                <w:color w:val="000000"/>
                <w:sz w:val="20"/>
                <w:szCs w:val="20"/>
              </w:rPr>
              <w:t>GO:0044456</w:t>
            </w:r>
          </w:p>
        </w:tc>
        <w:tc>
          <w:tcPr>
            <w:tcW w:w="2340" w:type="dxa"/>
          </w:tcPr>
          <w:p w:rsidR="008B50C1" w:rsidRPr="005240EE"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0"/>
              </w:rPr>
            </w:pPr>
            <w:r w:rsidRPr="005240EE">
              <w:rPr>
                <w:rFonts w:ascii="Arial" w:hAnsi="Arial" w:cs="Arial"/>
                <w:b/>
                <w:color w:val="000000"/>
                <w:sz w:val="20"/>
                <w:szCs w:val="20"/>
              </w:rPr>
              <w:t>Synapse part</w:t>
            </w:r>
          </w:p>
        </w:tc>
        <w:tc>
          <w:tcPr>
            <w:tcW w:w="99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1089</w:t>
            </w:r>
          </w:p>
        </w:tc>
        <w:tc>
          <w:tcPr>
            <w:tcW w:w="99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604</w:t>
            </w:r>
          </w:p>
        </w:tc>
        <w:tc>
          <w:tcPr>
            <w:tcW w:w="126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951</w:t>
            </w:r>
          </w:p>
        </w:tc>
        <w:tc>
          <w:tcPr>
            <w:tcW w:w="135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Cs/>
                <w:color w:val="000000"/>
              </w:rPr>
            </w:pPr>
            <w:r w:rsidRPr="00A4066F">
              <w:rPr>
                <w:rFonts w:ascii="Calibri" w:hAnsi="Calibri" w:cs="Calibri"/>
                <w:bCs/>
                <w:color w:val="000000"/>
              </w:rPr>
              <w:t>167</w:t>
            </w:r>
          </w:p>
        </w:tc>
        <w:tc>
          <w:tcPr>
            <w:tcW w:w="117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196</w:t>
            </w:r>
          </w:p>
        </w:tc>
        <w:tc>
          <w:tcPr>
            <w:tcW w:w="126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136</w:t>
            </w:r>
          </w:p>
        </w:tc>
        <w:tc>
          <w:tcPr>
            <w:tcW w:w="126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611</w:t>
            </w:r>
          </w:p>
        </w:tc>
        <w:tc>
          <w:tcPr>
            <w:tcW w:w="126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732</w:t>
            </w:r>
          </w:p>
        </w:tc>
        <w:tc>
          <w:tcPr>
            <w:tcW w:w="117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2793</w:t>
            </w:r>
          </w:p>
        </w:tc>
      </w:tr>
      <w:tr w:rsidR="008B50C1" w:rsidTr="008B50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vAlign w:val="bottom"/>
          </w:tcPr>
          <w:p w:rsidR="008B50C1" w:rsidRPr="000E5E1D" w:rsidRDefault="008B50C1" w:rsidP="008B50C1">
            <w:pPr>
              <w:jc w:val="center"/>
              <w:rPr>
                <w:rFonts w:ascii="Arial" w:hAnsi="Arial" w:cs="Arial"/>
                <w:color w:val="000000"/>
                <w:sz w:val="20"/>
              </w:rPr>
            </w:pPr>
            <w:r w:rsidRPr="000E5E1D">
              <w:rPr>
                <w:rFonts w:ascii="Arial" w:hAnsi="Arial" w:cs="Arial"/>
                <w:color w:val="000000"/>
                <w:sz w:val="20"/>
              </w:rPr>
              <w:t>GO:0009986</w:t>
            </w:r>
          </w:p>
        </w:tc>
        <w:tc>
          <w:tcPr>
            <w:tcW w:w="2340" w:type="dxa"/>
            <w:vAlign w:val="bottom"/>
          </w:tcPr>
          <w:p w:rsidR="008B50C1" w:rsidRPr="000E5E1D"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20"/>
              </w:rPr>
            </w:pPr>
            <w:r w:rsidRPr="000E5E1D">
              <w:rPr>
                <w:rFonts w:ascii="Arial" w:hAnsi="Arial" w:cs="Arial"/>
                <w:b/>
                <w:bCs/>
                <w:color w:val="000000"/>
                <w:sz w:val="20"/>
              </w:rPr>
              <w:t>Cell surface</w:t>
            </w:r>
          </w:p>
        </w:tc>
        <w:tc>
          <w:tcPr>
            <w:tcW w:w="990" w:type="dxa"/>
            <w:vAlign w:val="bottom"/>
          </w:tcPr>
          <w:p w:rsidR="008B50C1" w:rsidRPr="000E5E1D"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r w:rsidRPr="000E5E1D">
              <w:rPr>
                <w:rFonts w:ascii="Arial" w:hAnsi="Arial" w:cs="Arial"/>
                <w:color w:val="000000"/>
                <w:sz w:val="20"/>
              </w:rPr>
              <w:t>921</w:t>
            </w:r>
          </w:p>
        </w:tc>
        <w:tc>
          <w:tcPr>
            <w:tcW w:w="990" w:type="dxa"/>
            <w:vAlign w:val="bottom"/>
          </w:tcPr>
          <w:p w:rsidR="008B50C1" w:rsidRPr="000E5E1D"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r w:rsidRPr="000E5E1D">
              <w:rPr>
                <w:rFonts w:ascii="Arial" w:hAnsi="Arial" w:cs="Arial"/>
                <w:color w:val="000000"/>
                <w:sz w:val="20"/>
              </w:rPr>
              <w:t>560</w:t>
            </w:r>
          </w:p>
        </w:tc>
        <w:tc>
          <w:tcPr>
            <w:tcW w:w="1260" w:type="dxa"/>
            <w:vAlign w:val="bottom"/>
          </w:tcPr>
          <w:p w:rsidR="008B50C1" w:rsidRPr="000E5E1D"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r w:rsidRPr="000E5E1D">
              <w:rPr>
                <w:rFonts w:ascii="Arial" w:hAnsi="Arial" w:cs="Arial"/>
                <w:color w:val="000000"/>
                <w:sz w:val="20"/>
              </w:rPr>
              <w:t>1965</w:t>
            </w:r>
          </w:p>
        </w:tc>
        <w:tc>
          <w:tcPr>
            <w:tcW w:w="1350" w:type="dxa"/>
            <w:vAlign w:val="bottom"/>
          </w:tcPr>
          <w:p w:rsidR="008B50C1" w:rsidRPr="000E5E1D"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20"/>
              </w:rPr>
            </w:pPr>
            <w:r w:rsidRPr="000E5E1D">
              <w:rPr>
                <w:rFonts w:ascii="Arial" w:hAnsi="Arial" w:cs="Arial"/>
                <w:bCs/>
                <w:color w:val="000000"/>
                <w:sz w:val="20"/>
              </w:rPr>
              <w:t>142</w:t>
            </w:r>
          </w:p>
        </w:tc>
        <w:tc>
          <w:tcPr>
            <w:tcW w:w="1170" w:type="dxa"/>
            <w:vAlign w:val="bottom"/>
          </w:tcPr>
          <w:p w:rsidR="008B50C1" w:rsidRPr="000E5E1D"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r w:rsidRPr="000E5E1D">
              <w:rPr>
                <w:rFonts w:ascii="Arial" w:hAnsi="Arial" w:cs="Arial"/>
                <w:color w:val="000000"/>
                <w:sz w:val="20"/>
              </w:rPr>
              <w:t>172</w:t>
            </w:r>
          </w:p>
        </w:tc>
        <w:tc>
          <w:tcPr>
            <w:tcW w:w="1260" w:type="dxa"/>
            <w:vAlign w:val="bottom"/>
          </w:tcPr>
          <w:p w:rsidR="008B50C1" w:rsidRPr="000E5E1D"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r w:rsidRPr="000E5E1D">
              <w:rPr>
                <w:rFonts w:ascii="Arial" w:hAnsi="Arial" w:cs="Arial"/>
                <w:color w:val="000000"/>
                <w:sz w:val="20"/>
              </w:rPr>
              <w:t>137</w:t>
            </w:r>
          </w:p>
        </w:tc>
        <w:tc>
          <w:tcPr>
            <w:tcW w:w="1260" w:type="dxa"/>
            <w:vAlign w:val="bottom"/>
          </w:tcPr>
          <w:p w:rsidR="008B50C1" w:rsidRPr="000E5E1D"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r w:rsidRPr="000E5E1D">
              <w:rPr>
                <w:rFonts w:ascii="Arial" w:hAnsi="Arial" w:cs="Arial"/>
                <w:color w:val="000000"/>
                <w:sz w:val="20"/>
              </w:rPr>
              <w:t>1048</w:t>
            </w:r>
          </w:p>
        </w:tc>
        <w:tc>
          <w:tcPr>
            <w:tcW w:w="1260" w:type="dxa"/>
            <w:vAlign w:val="bottom"/>
          </w:tcPr>
          <w:p w:rsidR="008B50C1" w:rsidRPr="000E5E1D"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r w:rsidRPr="000E5E1D">
              <w:rPr>
                <w:rFonts w:ascii="Arial" w:hAnsi="Arial" w:cs="Arial"/>
                <w:color w:val="000000"/>
                <w:sz w:val="20"/>
              </w:rPr>
              <w:t>1164</w:t>
            </w:r>
          </w:p>
        </w:tc>
        <w:tc>
          <w:tcPr>
            <w:tcW w:w="1170" w:type="dxa"/>
            <w:vAlign w:val="bottom"/>
          </w:tcPr>
          <w:p w:rsidR="008B50C1" w:rsidRPr="000E5E1D"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r w:rsidRPr="000E5E1D">
              <w:rPr>
                <w:rFonts w:ascii="Arial" w:hAnsi="Arial" w:cs="Arial"/>
                <w:color w:val="000000"/>
                <w:sz w:val="20"/>
              </w:rPr>
              <w:t>4628</w:t>
            </w:r>
          </w:p>
        </w:tc>
      </w:tr>
      <w:tr w:rsidR="008B50C1" w:rsidTr="008B50C1">
        <w:tc>
          <w:tcPr>
            <w:cnfStyle w:val="001000000000" w:firstRow="0" w:lastRow="0" w:firstColumn="1" w:lastColumn="0" w:oddVBand="0" w:evenVBand="0" w:oddHBand="0" w:evenHBand="0" w:firstRowFirstColumn="0" w:firstRowLastColumn="0" w:lastRowFirstColumn="0" w:lastRowLastColumn="0"/>
            <w:tcW w:w="1440" w:type="dxa"/>
          </w:tcPr>
          <w:p w:rsidR="008B50C1" w:rsidRPr="005240EE" w:rsidRDefault="008B50C1" w:rsidP="008B50C1">
            <w:pPr>
              <w:jc w:val="center"/>
              <w:rPr>
                <w:rFonts w:ascii="Arial" w:hAnsi="Arial" w:cs="Arial"/>
                <w:color w:val="000000"/>
                <w:sz w:val="20"/>
                <w:szCs w:val="20"/>
              </w:rPr>
            </w:pPr>
            <w:r w:rsidRPr="005240EE">
              <w:rPr>
                <w:rFonts w:ascii="Arial" w:hAnsi="Arial" w:cs="Arial"/>
                <w:color w:val="000000"/>
                <w:sz w:val="20"/>
                <w:szCs w:val="20"/>
              </w:rPr>
              <w:t>GO:0098794</w:t>
            </w:r>
          </w:p>
        </w:tc>
        <w:tc>
          <w:tcPr>
            <w:tcW w:w="2340" w:type="dxa"/>
          </w:tcPr>
          <w:p w:rsidR="008B50C1" w:rsidRPr="005240EE"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0"/>
              </w:rPr>
            </w:pPr>
            <w:proofErr w:type="spellStart"/>
            <w:r w:rsidRPr="005240EE">
              <w:rPr>
                <w:rFonts w:ascii="Arial" w:hAnsi="Arial" w:cs="Arial"/>
                <w:b/>
                <w:color w:val="000000"/>
                <w:sz w:val="20"/>
                <w:szCs w:val="20"/>
              </w:rPr>
              <w:t>Postsynapse</w:t>
            </w:r>
            <w:proofErr w:type="spellEnd"/>
          </w:p>
        </w:tc>
        <w:tc>
          <w:tcPr>
            <w:tcW w:w="99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Cs/>
                <w:color w:val="000000"/>
              </w:rPr>
            </w:pPr>
            <w:r w:rsidRPr="00A4066F">
              <w:rPr>
                <w:rFonts w:ascii="Calibri" w:hAnsi="Calibri" w:cs="Calibri"/>
                <w:bCs/>
                <w:color w:val="000000"/>
              </w:rPr>
              <w:t>826</w:t>
            </w:r>
          </w:p>
        </w:tc>
        <w:tc>
          <w:tcPr>
            <w:tcW w:w="99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406</w:t>
            </w:r>
          </w:p>
        </w:tc>
        <w:tc>
          <w:tcPr>
            <w:tcW w:w="126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842</w:t>
            </w:r>
          </w:p>
        </w:tc>
        <w:tc>
          <w:tcPr>
            <w:tcW w:w="135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Cs/>
                <w:color w:val="000000"/>
              </w:rPr>
            </w:pPr>
            <w:r w:rsidRPr="00A4066F">
              <w:rPr>
                <w:rFonts w:ascii="Calibri" w:hAnsi="Calibri" w:cs="Calibri"/>
                <w:bCs/>
                <w:color w:val="000000"/>
              </w:rPr>
              <w:t>159</w:t>
            </w:r>
          </w:p>
        </w:tc>
        <w:tc>
          <w:tcPr>
            <w:tcW w:w="117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170</w:t>
            </w:r>
          </w:p>
        </w:tc>
        <w:tc>
          <w:tcPr>
            <w:tcW w:w="126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148</w:t>
            </w:r>
          </w:p>
        </w:tc>
        <w:tc>
          <w:tcPr>
            <w:tcW w:w="126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588</w:t>
            </w:r>
          </w:p>
        </w:tc>
        <w:tc>
          <w:tcPr>
            <w:tcW w:w="126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727</w:t>
            </w:r>
          </w:p>
        </w:tc>
        <w:tc>
          <w:tcPr>
            <w:tcW w:w="117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2634</w:t>
            </w:r>
          </w:p>
        </w:tc>
      </w:tr>
      <w:tr w:rsidR="008B50C1" w:rsidTr="008B50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vAlign w:val="bottom"/>
          </w:tcPr>
          <w:p w:rsidR="008B50C1" w:rsidRPr="00986059" w:rsidRDefault="008B50C1" w:rsidP="008B50C1">
            <w:pPr>
              <w:jc w:val="center"/>
              <w:rPr>
                <w:rFonts w:ascii="Arial" w:hAnsi="Arial" w:cs="Arial"/>
                <w:color w:val="000000"/>
                <w:sz w:val="20"/>
              </w:rPr>
            </w:pPr>
            <w:r w:rsidRPr="00986059">
              <w:rPr>
                <w:rFonts w:ascii="Arial" w:hAnsi="Arial" w:cs="Arial"/>
                <w:color w:val="000000"/>
                <w:sz w:val="20"/>
              </w:rPr>
              <w:t>GO:0044297</w:t>
            </w:r>
          </w:p>
        </w:tc>
        <w:tc>
          <w:tcPr>
            <w:tcW w:w="2340" w:type="dxa"/>
            <w:vAlign w:val="bottom"/>
          </w:tcPr>
          <w:p w:rsidR="008B50C1" w:rsidRPr="00986059"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20"/>
              </w:rPr>
            </w:pPr>
            <w:r w:rsidRPr="00986059">
              <w:rPr>
                <w:rFonts w:ascii="Arial" w:hAnsi="Arial" w:cs="Arial"/>
                <w:b/>
                <w:bCs/>
                <w:color w:val="000000"/>
                <w:sz w:val="20"/>
              </w:rPr>
              <w:t>Cell body</w:t>
            </w:r>
          </w:p>
        </w:tc>
        <w:tc>
          <w:tcPr>
            <w:tcW w:w="990" w:type="dxa"/>
            <w:vAlign w:val="bottom"/>
          </w:tcPr>
          <w:p w:rsidR="008B50C1" w:rsidRPr="00986059"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20"/>
              </w:rPr>
            </w:pPr>
            <w:r w:rsidRPr="00986059">
              <w:rPr>
                <w:rFonts w:ascii="Arial" w:hAnsi="Arial" w:cs="Arial"/>
                <w:bCs/>
                <w:color w:val="000000"/>
                <w:sz w:val="20"/>
              </w:rPr>
              <w:t>737</w:t>
            </w:r>
          </w:p>
        </w:tc>
        <w:tc>
          <w:tcPr>
            <w:tcW w:w="990" w:type="dxa"/>
            <w:vAlign w:val="bottom"/>
          </w:tcPr>
          <w:p w:rsidR="008B50C1" w:rsidRPr="00986059"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r w:rsidRPr="00986059">
              <w:rPr>
                <w:rFonts w:ascii="Arial" w:hAnsi="Arial" w:cs="Arial"/>
                <w:color w:val="000000"/>
                <w:sz w:val="20"/>
              </w:rPr>
              <w:t>409</w:t>
            </w:r>
          </w:p>
        </w:tc>
        <w:tc>
          <w:tcPr>
            <w:tcW w:w="1260" w:type="dxa"/>
            <w:vAlign w:val="bottom"/>
          </w:tcPr>
          <w:p w:rsidR="008B50C1" w:rsidRPr="00986059"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r w:rsidRPr="00986059">
              <w:rPr>
                <w:rFonts w:ascii="Arial" w:hAnsi="Arial" w:cs="Arial"/>
                <w:color w:val="000000"/>
                <w:sz w:val="20"/>
              </w:rPr>
              <w:t>1644</w:t>
            </w:r>
          </w:p>
        </w:tc>
        <w:tc>
          <w:tcPr>
            <w:tcW w:w="1350" w:type="dxa"/>
            <w:vAlign w:val="bottom"/>
          </w:tcPr>
          <w:p w:rsidR="008B50C1" w:rsidRPr="00986059"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20"/>
              </w:rPr>
            </w:pPr>
            <w:r w:rsidRPr="00986059">
              <w:rPr>
                <w:rFonts w:ascii="Arial" w:hAnsi="Arial" w:cs="Arial"/>
                <w:bCs/>
                <w:color w:val="000000"/>
                <w:sz w:val="20"/>
              </w:rPr>
              <w:t>204</w:t>
            </w:r>
          </w:p>
        </w:tc>
        <w:tc>
          <w:tcPr>
            <w:tcW w:w="1170" w:type="dxa"/>
            <w:vAlign w:val="bottom"/>
          </w:tcPr>
          <w:p w:rsidR="008B50C1" w:rsidRPr="00986059"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r w:rsidRPr="00986059">
              <w:rPr>
                <w:rFonts w:ascii="Arial" w:hAnsi="Arial" w:cs="Arial"/>
                <w:color w:val="000000"/>
                <w:sz w:val="20"/>
              </w:rPr>
              <w:t>198</w:t>
            </w:r>
          </w:p>
        </w:tc>
        <w:tc>
          <w:tcPr>
            <w:tcW w:w="1260" w:type="dxa"/>
            <w:vAlign w:val="bottom"/>
          </w:tcPr>
          <w:p w:rsidR="008B50C1" w:rsidRPr="00986059"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r w:rsidRPr="00986059">
              <w:rPr>
                <w:rFonts w:ascii="Arial" w:hAnsi="Arial" w:cs="Arial"/>
                <w:color w:val="000000"/>
                <w:sz w:val="20"/>
              </w:rPr>
              <w:t>163</w:t>
            </w:r>
          </w:p>
        </w:tc>
        <w:tc>
          <w:tcPr>
            <w:tcW w:w="1260" w:type="dxa"/>
            <w:vAlign w:val="bottom"/>
          </w:tcPr>
          <w:p w:rsidR="008B50C1" w:rsidRPr="00986059"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r w:rsidRPr="00986059">
              <w:rPr>
                <w:rFonts w:ascii="Arial" w:hAnsi="Arial" w:cs="Arial"/>
                <w:color w:val="000000"/>
                <w:sz w:val="20"/>
              </w:rPr>
              <w:t>881</w:t>
            </w:r>
          </w:p>
        </w:tc>
        <w:tc>
          <w:tcPr>
            <w:tcW w:w="1260" w:type="dxa"/>
            <w:vAlign w:val="bottom"/>
          </w:tcPr>
          <w:p w:rsidR="008B50C1" w:rsidRPr="00986059"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r w:rsidRPr="00986059">
              <w:rPr>
                <w:rFonts w:ascii="Arial" w:hAnsi="Arial" w:cs="Arial"/>
                <w:color w:val="000000"/>
                <w:sz w:val="20"/>
              </w:rPr>
              <w:t>977</w:t>
            </w:r>
          </w:p>
        </w:tc>
        <w:tc>
          <w:tcPr>
            <w:tcW w:w="1170" w:type="dxa"/>
            <w:vAlign w:val="bottom"/>
          </w:tcPr>
          <w:p w:rsidR="008B50C1" w:rsidRPr="00986059"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r w:rsidRPr="00986059">
              <w:rPr>
                <w:rFonts w:ascii="Arial" w:hAnsi="Arial" w:cs="Arial"/>
                <w:color w:val="000000"/>
                <w:sz w:val="20"/>
              </w:rPr>
              <w:t>4067</w:t>
            </w:r>
          </w:p>
        </w:tc>
      </w:tr>
      <w:tr w:rsidR="008B50C1" w:rsidTr="008B50C1">
        <w:tc>
          <w:tcPr>
            <w:cnfStyle w:val="001000000000" w:firstRow="0" w:lastRow="0" w:firstColumn="1" w:lastColumn="0" w:oddVBand="0" w:evenVBand="0" w:oddHBand="0" w:evenHBand="0" w:firstRowFirstColumn="0" w:firstRowLastColumn="0" w:lastRowFirstColumn="0" w:lastRowLastColumn="0"/>
            <w:tcW w:w="1440" w:type="dxa"/>
          </w:tcPr>
          <w:p w:rsidR="008B50C1" w:rsidRPr="005240EE" w:rsidRDefault="008B50C1" w:rsidP="008B50C1">
            <w:pPr>
              <w:jc w:val="center"/>
              <w:rPr>
                <w:rFonts w:ascii="Arial" w:hAnsi="Arial" w:cs="Arial"/>
                <w:color w:val="000000"/>
                <w:sz w:val="20"/>
                <w:szCs w:val="20"/>
              </w:rPr>
            </w:pPr>
            <w:r w:rsidRPr="005240EE">
              <w:rPr>
                <w:rFonts w:ascii="Arial" w:hAnsi="Arial" w:cs="Arial"/>
                <w:color w:val="000000"/>
                <w:sz w:val="20"/>
                <w:szCs w:val="20"/>
              </w:rPr>
              <w:t>GO:0097060</w:t>
            </w:r>
          </w:p>
        </w:tc>
        <w:tc>
          <w:tcPr>
            <w:tcW w:w="2340" w:type="dxa"/>
          </w:tcPr>
          <w:p w:rsidR="008B50C1" w:rsidRPr="005240EE"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0"/>
              </w:rPr>
            </w:pPr>
            <w:r w:rsidRPr="005240EE">
              <w:rPr>
                <w:rFonts w:ascii="Arial" w:hAnsi="Arial" w:cs="Arial"/>
                <w:b/>
                <w:color w:val="000000"/>
                <w:sz w:val="20"/>
                <w:szCs w:val="20"/>
              </w:rPr>
              <w:t>Synaptic membrane</w:t>
            </w:r>
          </w:p>
        </w:tc>
        <w:tc>
          <w:tcPr>
            <w:tcW w:w="99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679</w:t>
            </w:r>
          </w:p>
        </w:tc>
        <w:tc>
          <w:tcPr>
            <w:tcW w:w="99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305</w:t>
            </w:r>
          </w:p>
        </w:tc>
        <w:tc>
          <w:tcPr>
            <w:tcW w:w="126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664</w:t>
            </w:r>
          </w:p>
        </w:tc>
        <w:tc>
          <w:tcPr>
            <w:tcW w:w="135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Cs/>
                <w:color w:val="000000"/>
              </w:rPr>
            </w:pPr>
            <w:r w:rsidRPr="00A4066F">
              <w:rPr>
                <w:rFonts w:ascii="Calibri" w:hAnsi="Calibri" w:cs="Calibri"/>
                <w:bCs/>
                <w:color w:val="000000"/>
              </w:rPr>
              <w:t>133</w:t>
            </w:r>
          </w:p>
        </w:tc>
        <w:tc>
          <w:tcPr>
            <w:tcW w:w="117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169</w:t>
            </w:r>
          </w:p>
        </w:tc>
        <w:tc>
          <w:tcPr>
            <w:tcW w:w="126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138</w:t>
            </w:r>
          </w:p>
        </w:tc>
        <w:tc>
          <w:tcPr>
            <w:tcW w:w="126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572</w:t>
            </w:r>
          </w:p>
        </w:tc>
        <w:tc>
          <w:tcPr>
            <w:tcW w:w="126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680</w:t>
            </w:r>
          </w:p>
        </w:tc>
        <w:tc>
          <w:tcPr>
            <w:tcW w:w="117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2356</w:t>
            </w:r>
          </w:p>
        </w:tc>
      </w:tr>
      <w:tr w:rsidR="008B50C1" w:rsidTr="008B50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rsidR="008B50C1" w:rsidRPr="005240EE" w:rsidRDefault="008B50C1" w:rsidP="008B50C1">
            <w:pPr>
              <w:jc w:val="center"/>
              <w:rPr>
                <w:rFonts w:ascii="Arial" w:hAnsi="Arial" w:cs="Arial"/>
                <w:color w:val="000000"/>
                <w:sz w:val="20"/>
                <w:szCs w:val="20"/>
              </w:rPr>
            </w:pPr>
            <w:r w:rsidRPr="005240EE">
              <w:rPr>
                <w:rFonts w:ascii="Arial" w:hAnsi="Arial" w:cs="Arial"/>
                <w:color w:val="000000"/>
                <w:sz w:val="20"/>
                <w:szCs w:val="20"/>
              </w:rPr>
              <w:t>GO:0045211</w:t>
            </w:r>
          </w:p>
        </w:tc>
        <w:tc>
          <w:tcPr>
            <w:tcW w:w="2340" w:type="dxa"/>
          </w:tcPr>
          <w:p w:rsidR="008B50C1" w:rsidRPr="005240EE"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20"/>
                <w:szCs w:val="20"/>
              </w:rPr>
            </w:pPr>
            <w:r w:rsidRPr="005240EE">
              <w:rPr>
                <w:rFonts w:ascii="Arial" w:hAnsi="Arial" w:cs="Arial"/>
                <w:b/>
                <w:color w:val="000000"/>
                <w:sz w:val="20"/>
                <w:szCs w:val="20"/>
              </w:rPr>
              <w:t>Postsynaptic membrane</w:t>
            </w:r>
          </w:p>
        </w:tc>
        <w:tc>
          <w:tcPr>
            <w:tcW w:w="99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Cs/>
                <w:color w:val="000000"/>
              </w:rPr>
            </w:pPr>
            <w:r w:rsidRPr="00A4066F">
              <w:rPr>
                <w:rFonts w:ascii="Calibri" w:hAnsi="Calibri" w:cs="Calibri"/>
                <w:bCs/>
                <w:color w:val="000000"/>
              </w:rPr>
              <w:t>577</w:t>
            </w:r>
          </w:p>
        </w:tc>
        <w:tc>
          <w:tcPr>
            <w:tcW w:w="99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240</w:t>
            </w:r>
          </w:p>
        </w:tc>
        <w:tc>
          <w:tcPr>
            <w:tcW w:w="126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515</w:t>
            </w:r>
          </w:p>
        </w:tc>
        <w:tc>
          <w:tcPr>
            <w:tcW w:w="135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Cs/>
                <w:color w:val="000000"/>
              </w:rPr>
            </w:pPr>
            <w:r w:rsidRPr="00A4066F">
              <w:rPr>
                <w:rFonts w:ascii="Calibri" w:hAnsi="Calibri" w:cs="Calibri"/>
                <w:bCs/>
                <w:color w:val="000000"/>
              </w:rPr>
              <w:t>116</w:t>
            </w:r>
          </w:p>
        </w:tc>
        <w:tc>
          <w:tcPr>
            <w:tcW w:w="117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148</w:t>
            </w:r>
          </w:p>
        </w:tc>
        <w:tc>
          <w:tcPr>
            <w:tcW w:w="126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136</w:t>
            </w:r>
          </w:p>
        </w:tc>
        <w:tc>
          <w:tcPr>
            <w:tcW w:w="126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543</w:t>
            </w:r>
          </w:p>
        </w:tc>
        <w:tc>
          <w:tcPr>
            <w:tcW w:w="126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646</w:t>
            </w:r>
          </w:p>
        </w:tc>
        <w:tc>
          <w:tcPr>
            <w:tcW w:w="117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2104</w:t>
            </w:r>
          </w:p>
        </w:tc>
      </w:tr>
      <w:tr w:rsidR="008B50C1" w:rsidTr="008B50C1">
        <w:tc>
          <w:tcPr>
            <w:cnfStyle w:val="001000000000" w:firstRow="0" w:lastRow="0" w:firstColumn="1" w:lastColumn="0" w:oddVBand="0" w:evenVBand="0" w:oddHBand="0" w:evenHBand="0" w:firstRowFirstColumn="0" w:firstRowLastColumn="0" w:lastRowFirstColumn="0" w:lastRowLastColumn="0"/>
            <w:tcW w:w="1440" w:type="dxa"/>
          </w:tcPr>
          <w:p w:rsidR="008B50C1" w:rsidRPr="005240EE" w:rsidRDefault="008B50C1" w:rsidP="008B50C1">
            <w:pPr>
              <w:jc w:val="center"/>
              <w:rPr>
                <w:rFonts w:ascii="Arial" w:hAnsi="Arial" w:cs="Arial"/>
                <w:color w:val="000000"/>
                <w:sz w:val="20"/>
                <w:szCs w:val="20"/>
              </w:rPr>
            </w:pPr>
            <w:r w:rsidRPr="005240EE">
              <w:rPr>
                <w:rFonts w:ascii="Arial" w:hAnsi="Arial" w:cs="Arial"/>
                <w:color w:val="000000"/>
                <w:sz w:val="20"/>
                <w:szCs w:val="20"/>
              </w:rPr>
              <w:lastRenderedPageBreak/>
              <w:t>GO:0036477</w:t>
            </w:r>
          </w:p>
        </w:tc>
        <w:tc>
          <w:tcPr>
            <w:tcW w:w="2340" w:type="dxa"/>
          </w:tcPr>
          <w:p w:rsidR="008B50C1" w:rsidRPr="005240EE"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0"/>
              </w:rPr>
            </w:pPr>
            <w:proofErr w:type="spellStart"/>
            <w:r w:rsidRPr="005240EE">
              <w:rPr>
                <w:rFonts w:ascii="Arial" w:hAnsi="Arial" w:cs="Arial"/>
                <w:b/>
                <w:color w:val="000000"/>
                <w:sz w:val="20"/>
                <w:szCs w:val="20"/>
              </w:rPr>
              <w:t>Somatodendritic</w:t>
            </w:r>
            <w:proofErr w:type="spellEnd"/>
            <w:r w:rsidRPr="005240EE">
              <w:rPr>
                <w:rFonts w:ascii="Arial" w:hAnsi="Arial" w:cs="Arial"/>
                <w:b/>
                <w:color w:val="000000"/>
                <w:sz w:val="20"/>
                <w:szCs w:val="20"/>
              </w:rPr>
              <w:t xml:space="preserve"> compartment</w:t>
            </w:r>
          </w:p>
        </w:tc>
        <w:tc>
          <w:tcPr>
            <w:tcW w:w="99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995</w:t>
            </w:r>
          </w:p>
        </w:tc>
        <w:tc>
          <w:tcPr>
            <w:tcW w:w="99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582</w:t>
            </w:r>
          </w:p>
        </w:tc>
        <w:tc>
          <w:tcPr>
            <w:tcW w:w="126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1640</w:t>
            </w:r>
          </w:p>
        </w:tc>
        <w:tc>
          <w:tcPr>
            <w:tcW w:w="135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Cs/>
                <w:color w:val="000000"/>
              </w:rPr>
            </w:pPr>
            <w:r w:rsidRPr="00A4066F">
              <w:rPr>
                <w:rFonts w:ascii="Calibri" w:hAnsi="Calibri" w:cs="Calibri"/>
                <w:bCs/>
                <w:color w:val="000000"/>
              </w:rPr>
              <w:t>180</w:t>
            </w:r>
          </w:p>
        </w:tc>
        <w:tc>
          <w:tcPr>
            <w:tcW w:w="117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208</w:t>
            </w:r>
          </w:p>
        </w:tc>
        <w:tc>
          <w:tcPr>
            <w:tcW w:w="126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246</w:t>
            </w:r>
          </w:p>
        </w:tc>
        <w:tc>
          <w:tcPr>
            <w:tcW w:w="126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898</w:t>
            </w:r>
          </w:p>
        </w:tc>
        <w:tc>
          <w:tcPr>
            <w:tcW w:w="126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999</w:t>
            </w:r>
          </w:p>
        </w:tc>
        <w:tc>
          <w:tcPr>
            <w:tcW w:w="117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4171</w:t>
            </w:r>
          </w:p>
        </w:tc>
      </w:tr>
      <w:tr w:rsidR="008B50C1" w:rsidTr="008B50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rsidR="008B50C1" w:rsidRPr="005240EE" w:rsidRDefault="008B50C1" w:rsidP="008B50C1">
            <w:pPr>
              <w:jc w:val="center"/>
              <w:rPr>
                <w:rFonts w:ascii="Arial" w:hAnsi="Arial" w:cs="Arial"/>
                <w:color w:val="000000"/>
                <w:sz w:val="20"/>
                <w:szCs w:val="20"/>
              </w:rPr>
            </w:pPr>
            <w:r w:rsidRPr="005240EE">
              <w:rPr>
                <w:rFonts w:ascii="Arial" w:hAnsi="Arial" w:cs="Arial"/>
                <w:color w:val="000000"/>
                <w:sz w:val="20"/>
                <w:szCs w:val="20"/>
              </w:rPr>
              <w:t>GO:0043025</w:t>
            </w:r>
          </w:p>
        </w:tc>
        <w:tc>
          <w:tcPr>
            <w:tcW w:w="2340" w:type="dxa"/>
          </w:tcPr>
          <w:p w:rsidR="008B50C1" w:rsidRPr="005240EE"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20"/>
                <w:szCs w:val="20"/>
              </w:rPr>
            </w:pPr>
            <w:r w:rsidRPr="005240EE">
              <w:rPr>
                <w:rFonts w:ascii="Arial" w:hAnsi="Arial" w:cs="Arial"/>
                <w:b/>
                <w:color w:val="000000"/>
                <w:sz w:val="20"/>
                <w:szCs w:val="20"/>
              </w:rPr>
              <w:t>Neuronal cell body</w:t>
            </w:r>
          </w:p>
        </w:tc>
        <w:tc>
          <w:tcPr>
            <w:tcW w:w="99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Cs/>
                <w:color w:val="000000"/>
              </w:rPr>
            </w:pPr>
            <w:r w:rsidRPr="00A4066F">
              <w:rPr>
                <w:rFonts w:ascii="Calibri" w:hAnsi="Calibri" w:cs="Calibri"/>
                <w:bCs/>
                <w:color w:val="000000"/>
              </w:rPr>
              <w:t>645</w:t>
            </w:r>
          </w:p>
        </w:tc>
        <w:tc>
          <w:tcPr>
            <w:tcW w:w="99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359</w:t>
            </w:r>
          </w:p>
        </w:tc>
        <w:tc>
          <w:tcPr>
            <w:tcW w:w="126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1480</w:t>
            </w:r>
          </w:p>
        </w:tc>
        <w:tc>
          <w:tcPr>
            <w:tcW w:w="135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Cs/>
                <w:color w:val="000000"/>
              </w:rPr>
            </w:pPr>
            <w:r w:rsidRPr="00A4066F">
              <w:rPr>
                <w:rFonts w:ascii="Calibri" w:hAnsi="Calibri" w:cs="Calibri"/>
                <w:bCs/>
                <w:color w:val="000000"/>
              </w:rPr>
              <w:t>174</w:t>
            </w:r>
          </w:p>
        </w:tc>
        <w:tc>
          <w:tcPr>
            <w:tcW w:w="117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176</w:t>
            </w:r>
          </w:p>
        </w:tc>
        <w:tc>
          <w:tcPr>
            <w:tcW w:w="126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191</w:t>
            </w:r>
          </w:p>
        </w:tc>
        <w:tc>
          <w:tcPr>
            <w:tcW w:w="126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855</w:t>
            </w:r>
          </w:p>
        </w:tc>
        <w:tc>
          <w:tcPr>
            <w:tcW w:w="126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874</w:t>
            </w:r>
          </w:p>
        </w:tc>
        <w:tc>
          <w:tcPr>
            <w:tcW w:w="117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3750</w:t>
            </w:r>
          </w:p>
        </w:tc>
      </w:tr>
      <w:tr w:rsidR="008B50C1" w:rsidTr="008B50C1">
        <w:tc>
          <w:tcPr>
            <w:cnfStyle w:val="001000000000" w:firstRow="0" w:lastRow="0" w:firstColumn="1" w:lastColumn="0" w:oddVBand="0" w:evenVBand="0" w:oddHBand="0" w:evenHBand="0" w:firstRowFirstColumn="0" w:firstRowLastColumn="0" w:lastRowFirstColumn="0" w:lastRowLastColumn="0"/>
            <w:tcW w:w="1440" w:type="dxa"/>
          </w:tcPr>
          <w:p w:rsidR="008B50C1" w:rsidRPr="005240EE" w:rsidRDefault="008B50C1" w:rsidP="008B50C1">
            <w:pPr>
              <w:jc w:val="center"/>
              <w:rPr>
                <w:rFonts w:ascii="Arial" w:hAnsi="Arial" w:cs="Arial"/>
                <w:color w:val="000000"/>
                <w:sz w:val="20"/>
                <w:szCs w:val="20"/>
              </w:rPr>
            </w:pPr>
            <w:r w:rsidRPr="005240EE">
              <w:rPr>
                <w:rFonts w:ascii="Arial" w:hAnsi="Arial" w:cs="Arial"/>
                <w:color w:val="000000"/>
                <w:sz w:val="20"/>
                <w:szCs w:val="20"/>
              </w:rPr>
              <w:t>GO:0030424</w:t>
            </w:r>
          </w:p>
        </w:tc>
        <w:tc>
          <w:tcPr>
            <w:tcW w:w="2340" w:type="dxa"/>
          </w:tcPr>
          <w:p w:rsidR="008B50C1" w:rsidRPr="005240EE"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0"/>
              </w:rPr>
            </w:pPr>
            <w:r w:rsidRPr="005240EE">
              <w:rPr>
                <w:rFonts w:ascii="Arial" w:hAnsi="Arial" w:cs="Arial"/>
                <w:b/>
                <w:color w:val="000000"/>
                <w:sz w:val="20"/>
                <w:szCs w:val="20"/>
              </w:rPr>
              <w:t>Axon</w:t>
            </w:r>
          </w:p>
        </w:tc>
        <w:tc>
          <w:tcPr>
            <w:tcW w:w="99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651</w:t>
            </w:r>
          </w:p>
        </w:tc>
        <w:tc>
          <w:tcPr>
            <w:tcW w:w="99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335</w:t>
            </w:r>
          </w:p>
        </w:tc>
        <w:tc>
          <w:tcPr>
            <w:tcW w:w="126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1029</w:t>
            </w:r>
          </w:p>
        </w:tc>
        <w:tc>
          <w:tcPr>
            <w:tcW w:w="135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Cs/>
                <w:color w:val="000000"/>
              </w:rPr>
            </w:pPr>
            <w:r w:rsidRPr="00A4066F">
              <w:rPr>
                <w:rFonts w:ascii="Calibri" w:hAnsi="Calibri" w:cs="Calibri"/>
                <w:bCs/>
                <w:color w:val="000000"/>
              </w:rPr>
              <w:t>152</w:t>
            </w:r>
          </w:p>
        </w:tc>
        <w:tc>
          <w:tcPr>
            <w:tcW w:w="117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130</w:t>
            </w:r>
          </w:p>
        </w:tc>
        <w:tc>
          <w:tcPr>
            <w:tcW w:w="126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143</w:t>
            </w:r>
          </w:p>
        </w:tc>
        <w:tc>
          <w:tcPr>
            <w:tcW w:w="126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465</w:t>
            </w:r>
          </w:p>
        </w:tc>
        <w:tc>
          <w:tcPr>
            <w:tcW w:w="126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562</w:t>
            </w:r>
          </w:p>
        </w:tc>
        <w:tc>
          <w:tcPr>
            <w:tcW w:w="117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2481</w:t>
            </w:r>
          </w:p>
        </w:tc>
      </w:tr>
      <w:tr w:rsidR="008B50C1" w:rsidTr="008B50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rsidR="008B50C1" w:rsidRPr="005240EE" w:rsidRDefault="008B50C1" w:rsidP="008B50C1">
            <w:pPr>
              <w:jc w:val="center"/>
              <w:rPr>
                <w:rFonts w:ascii="Arial" w:hAnsi="Arial" w:cs="Arial"/>
                <w:color w:val="000000"/>
                <w:sz w:val="20"/>
                <w:szCs w:val="20"/>
              </w:rPr>
            </w:pPr>
            <w:r w:rsidRPr="005240EE">
              <w:rPr>
                <w:rFonts w:ascii="Arial" w:hAnsi="Arial" w:cs="Arial"/>
                <w:color w:val="000000"/>
                <w:sz w:val="20"/>
                <w:szCs w:val="20"/>
              </w:rPr>
              <w:t>GO:0031012</w:t>
            </w:r>
          </w:p>
        </w:tc>
        <w:tc>
          <w:tcPr>
            <w:tcW w:w="2340" w:type="dxa"/>
          </w:tcPr>
          <w:p w:rsidR="008B50C1" w:rsidRPr="005240EE"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20"/>
                <w:szCs w:val="20"/>
              </w:rPr>
            </w:pPr>
            <w:r w:rsidRPr="005240EE">
              <w:rPr>
                <w:rFonts w:ascii="Arial" w:hAnsi="Arial" w:cs="Arial"/>
                <w:b/>
                <w:color w:val="000000"/>
                <w:sz w:val="20"/>
                <w:szCs w:val="20"/>
              </w:rPr>
              <w:t>Extracellular matrix</w:t>
            </w:r>
          </w:p>
        </w:tc>
        <w:tc>
          <w:tcPr>
            <w:tcW w:w="99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Cs/>
                <w:color w:val="000000"/>
              </w:rPr>
            </w:pPr>
            <w:r w:rsidRPr="00A4066F">
              <w:rPr>
                <w:rFonts w:ascii="Calibri" w:hAnsi="Calibri" w:cs="Calibri"/>
                <w:bCs/>
                <w:color w:val="000000"/>
              </w:rPr>
              <w:t>674</w:t>
            </w:r>
          </w:p>
        </w:tc>
        <w:tc>
          <w:tcPr>
            <w:tcW w:w="99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395</w:t>
            </w:r>
          </w:p>
        </w:tc>
        <w:tc>
          <w:tcPr>
            <w:tcW w:w="126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259</w:t>
            </w:r>
          </w:p>
        </w:tc>
        <w:tc>
          <w:tcPr>
            <w:tcW w:w="135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Cs/>
                <w:color w:val="000000"/>
              </w:rPr>
            </w:pPr>
            <w:r w:rsidRPr="00A4066F">
              <w:rPr>
                <w:rFonts w:ascii="Calibri" w:hAnsi="Calibri" w:cs="Calibri"/>
                <w:bCs/>
                <w:color w:val="000000"/>
              </w:rPr>
              <w:t>57</w:t>
            </w:r>
          </w:p>
        </w:tc>
        <w:tc>
          <w:tcPr>
            <w:tcW w:w="117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97</w:t>
            </w:r>
          </w:p>
        </w:tc>
        <w:tc>
          <w:tcPr>
            <w:tcW w:w="126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309</w:t>
            </w:r>
          </w:p>
        </w:tc>
        <w:tc>
          <w:tcPr>
            <w:tcW w:w="126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402</w:t>
            </w:r>
          </w:p>
        </w:tc>
        <w:tc>
          <w:tcPr>
            <w:tcW w:w="126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405</w:t>
            </w:r>
          </w:p>
        </w:tc>
        <w:tc>
          <w:tcPr>
            <w:tcW w:w="117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1529</w:t>
            </w:r>
          </w:p>
        </w:tc>
      </w:tr>
      <w:tr w:rsidR="008B50C1" w:rsidTr="008B50C1">
        <w:tc>
          <w:tcPr>
            <w:cnfStyle w:val="001000000000" w:firstRow="0" w:lastRow="0" w:firstColumn="1" w:lastColumn="0" w:oddVBand="0" w:evenVBand="0" w:oddHBand="0" w:evenHBand="0" w:firstRowFirstColumn="0" w:firstRowLastColumn="0" w:lastRowFirstColumn="0" w:lastRowLastColumn="0"/>
            <w:tcW w:w="1440" w:type="dxa"/>
          </w:tcPr>
          <w:p w:rsidR="008B50C1" w:rsidRPr="005240EE" w:rsidRDefault="008B50C1" w:rsidP="008B50C1">
            <w:pPr>
              <w:jc w:val="center"/>
              <w:rPr>
                <w:rFonts w:ascii="Arial" w:hAnsi="Arial" w:cs="Arial"/>
                <w:color w:val="000000"/>
                <w:sz w:val="20"/>
                <w:szCs w:val="20"/>
              </w:rPr>
            </w:pPr>
            <w:r w:rsidRPr="005240EE">
              <w:rPr>
                <w:rFonts w:ascii="Arial" w:hAnsi="Arial" w:cs="Arial"/>
                <w:color w:val="000000"/>
                <w:sz w:val="20"/>
                <w:szCs w:val="20"/>
              </w:rPr>
              <w:t>GO:0005578</w:t>
            </w:r>
          </w:p>
        </w:tc>
        <w:tc>
          <w:tcPr>
            <w:tcW w:w="2340" w:type="dxa"/>
          </w:tcPr>
          <w:p w:rsidR="008B50C1" w:rsidRPr="005240EE"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0"/>
              </w:rPr>
            </w:pPr>
            <w:r w:rsidRPr="005240EE">
              <w:rPr>
                <w:rFonts w:ascii="Arial" w:hAnsi="Arial" w:cs="Arial"/>
                <w:b/>
                <w:color w:val="000000"/>
                <w:sz w:val="20"/>
                <w:szCs w:val="20"/>
              </w:rPr>
              <w:t>Proteinaceous extracellular matrix</w:t>
            </w:r>
          </w:p>
        </w:tc>
        <w:tc>
          <w:tcPr>
            <w:tcW w:w="99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554</w:t>
            </w:r>
          </w:p>
        </w:tc>
        <w:tc>
          <w:tcPr>
            <w:tcW w:w="99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311</w:t>
            </w:r>
          </w:p>
        </w:tc>
        <w:tc>
          <w:tcPr>
            <w:tcW w:w="126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356</w:t>
            </w:r>
          </w:p>
        </w:tc>
        <w:tc>
          <w:tcPr>
            <w:tcW w:w="135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Cs/>
                <w:color w:val="000000"/>
              </w:rPr>
            </w:pPr>
            <w:r w:rsidRPr="00A4066F">
              <w:rPr>
                <w:rFonts w:ascii="Calibri" w:hAnsi="Calibri" w:cs="Calibri"/>
                <w:bCs/>
                <w:color w:val="000000"/>
              </w:rPr>
              <w:t>40</w:t>
            </w:r>
          </w:p>
        </w:tc>
        <w:tc>
          <w:tcPr>
            <w:tcW w:w="117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87</w:t>
            </w:r>
          </w:p>
        </w:tc>
        <w:tc>
          <w:tcPr>
            <w:tcW w:w="126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232</w:t>
            </w:r>
          </w:p>
        </w:tc>
        <w:tc>
          <w:tcPr>
            <w:tcW w:w="126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229</w:t>
            </w:r>
          </w:p>
        </w:tc>
        <w:tc>
          <w:tcPr>
            <w:tcW w:w="126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245</w:t>
            </w:r>
          </w:p>
        </w:tc>
        <w:tc>
          <w:tcPr>
            <w:tcW w:w="117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1189</w:t>
            </w:r>
          </w:p>
        </w:tc>
      </w:tr>
      <w:tr w:rsidR="008B50C1" w:rsidTr="008B50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rsidR="008B50C1" w:rsidRPr="005240EE" w:rsidRDefault="008B50C1" w:rsidP="008B50C1">
            <w:pPr>
              <w:jc w:val="center"/>
              <w:rPr>
                <w:rFonts w:ascii="Arial" w:hAnsi="Arial" w:cs="Arial"/>
                <w:color w:val="000000"/>
                <w:sz w:val="20"/>
                <w:szCs w:val="20"/>
              </w:rPr>
            </w:pPr>
            <w:r w:rsidRPr="005240EE">
              <w:rPr>
                <w:rFonts w:ascii="Arial" w:hAnsi="Arial" w:cs="Arial"/>
                <w:color w:val="000000"/>
                <w:sz w:val="20"/>
                <w:szCs w:val="20"/>
              </w:rPr>
              <w:t>GO:0005509</w:t>
            </w:r>
          </w:p>
        </w:tc>
        <w:tc>
          <w:tcPr>
            <w:tcW w:w="2340" w:type="dxa"/>
          </w:tcPr>
          <w:p w:rsidR="008B50C1" w:rsidRPr="005240EE"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20"/>
                <w:szCs w:val="20"/>
              </w:rPr>
            </w:pPr>
            <w:r w:rsidRPr="005240EE">
              <w:rPr>
                <w:rFonts w:ascii="Arial" w:hAnsi="Arial" w:cs="Arial"/>
                <w:b/>
                <w:color w:val="000000"/>
                <w:sz w:val="20"/>
                <w:szCs w:val="20"/>
              </w:rPr>
              <w:t>Calcium ion binding</w:t>
            </w:r>
          </w:p>
        </w:tc>
        <w:tc>
          <w:tcPr>
            <w:tcW w:w="99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979</w:t>
            </w:r>
          </w:p>
        </w:tc>
        <w:tc>
          <w:tcPr>
            <w:tcW w:w="99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462</w:t>
            </w:r>
          </w:p>
        </w:tc>
        <w:tc>
          <w:tcPr>
            <w:tcW w:w="126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397</w:t>
            </w:r>
          </w:p>
        </w:tc>
        <w:tc>
          <w:tcPr>
            <w:tcW w:w="135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26</w:t>
            </w:r>
          </w:p>
        </w:tc>
        <w:tc>
          <w:tcPr>
            <w:tcW w:w="117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Cs/>
                <w:color w:val="000000"/>
              </w:rPr>
            </w:pPr>
            <w:r w:rsidRPr="00A4066F">
              <w:rPr>
                <w:rFonts w:ascii="Calibri" w:hAnsi="Calibri" w:cs="Calibri"/>
                <w:bCs/>
                <w:color w:val="000000"/>
              </w:rPr>
              <w:t>98</w:t>
            </w:r>
          </w:p>
        </w:tc>
        <w:tc>
          <w:tcPr>
            <w:tcW w:w="126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43</w:t>
            </w:r>
          </w:p>
        </w:tc>
        <w:tc>
          <w:tcPr>
            <w:tcW w:w="126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192</w:t>
            </w:r>
          </w:p>
        </w:tc>
        <w:tc>
          <w:tcPr>
            <w:tcW w:w="126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212</w:t>
            </w:r>
          </w:p>
        </w:tc>
        <w:tc>
          <w:tcPr>
            <w:tcW w:w="117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968</w:t>
            </w:r>
          </w:p>
        </w:tc>
      </w:tr>
      <w:tr w:rsidR="008B50C1" w:rsidTr="008B50C1">
        <w:tc>
          <w:tcPr>
            <w:cnfStyle w:val="001000000000" w:firstRow="0" w:lastRow="0" w:firstColumn="1" w:lastColumn="0" w:oddVBand="0" w:evenVBand="0" w:oddHBand="0" w:evenHBand="0" w:firstRowFirstColumn="0" w:firstRowLastColumn="0" w:lastRowFirstColumn="0" w:lastRowLastColumn="0"/>
            <w:tcW w:w="1440" w:type="dxa"/>
          </w:tcPr>
          <w:p w:rsidR="008B50C1" w:rsidRPr="005240EE" w:rsidRDefault="008B50C1" w:rsidP="008B50C1">
            <w:pPr>
              <w:jc w:val="center"/>
              <w:rPr>
                <w:rFonts w:ascii="Arial" w:hAnsi="Arial" w:cs="Arial"/>
                <w:color w:val="000000"/>
                <w:sz w:val="20"/>
                <w:szCs w:val="20"/>
              </w:rPr>
            </w:pPr>
            <w:r w:rsidRPr="005240EE">
              <w:rPr>
                <w:rFonts w:ascii="Arial" w:hAnsi="Arial" w:cs="Arial"/>
                <w:color w:val="000000"/>
                <w:sz w:val="20"/>
                <w:szCs w:val="20"/>
              </w:rPr>
              <w:t>GO:0008233</w:t>
            </w:r>
          </w:p>
        </w:tc>
        <w:tc>
          <w:tcPr>
            <w:tcW w:w="2340" w:type="dxa"/>
          </w:tcPr>
          <w:p w:rsidR="008B50C1" w:rsidRPr="005240EE"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0"/>
              </w:rPr>
            </w:pPr>
            <w:r w:rsidRPr="005240EE">
              <w:rPr>
                <w:rFonts w:ascii="Arial" w:hAnsi="Arial" w:cs="Arial"/>
                <w:b/>
                <w:color w:val="000000"/>
                <w:sz w:val="20"/>
                <w:szCs w:val="20"/>
              </w:rPr>
              <w:t>Peptidase activity</w:t>
            </w:r>
          </w:p>
        </w:tc>
        <w:tc>
          <w:tcPr>
            <w:tcW w:w="99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574</w:t>
            </w:r>
          </w:p>
        </w:tc>
        <w:tc>
          <w:tcPr>
            <w:tcW w:w="99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400</w:t>
            </w:r>
          </w:p>
        </w:tc>
        <w:tc>
          <w:tcPr>
            <w:tcW w:w="126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303</w:t>
            </w:r>
          </w:p>
        </w:tc>
        <w:tc>
          <w:tcPr>
            <w:tcW w:w="135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30</w:t>
            </w:r>
          </w:p>
        </w:tc>
        <w:tc>
          <w:tcPr>
            <w:tcW w:w="117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Cs/>
                <w:color w:val="000000"/>
              </w:rPr>
            </w:pPr>
            <w:r>
              <w:rPr>
                <w:rFonts w:ascii="Calibri" w:hAnsi="Calibri" w:cs="Calibri"/>
                <w:bCs/>
                <w:color w:val="000000"/>
              </w:rPr>
              <w:t>83</w:t>
            </w:r>
          </w:p>
        </w:tc>
        <w:tc>
          <w:tcPr>
            <w:tcW w:w="126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71</w:t>
            </w:r>
          </w:p>
        </w:tc>
        <w:tc>
          <w:tcPr>
            <w:tcW w:w="126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175</w:t>
            </w:r>
          </w:p>
        </w:tc>
        <w:tc>
          <w:tcPr>
            <w:tcW w:w="126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204</w:t>
            </w:r>
          </w:p>
        </w:tc>
        <w:tc>
          <w:tcPr>
            <w:tcW w:w="1170" w:type="dxa"/>
            <w:vAlign w:val="bottom"/>
          </w:tcPr>
          <w:p w:rsidR="008B50C1" w:rsidRPr="00A4066F"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A4066F">
              <w:rPr>
                <w:rFonts w:ascii="Calibri" w:hAnsi="Calibri" w:cs="Calibri"/>
                <w:color w:val="000000"/>
              </w:rPr>
              <w:t>849</w:t>
            </w:r>
          </w:p>
        </w:tc>
      </w:tr>
      <w:tr w:rsidR="008B50C1" w:rsidTr="008B50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rsidR="008B50C1" w:rsidRPr="005240EE" w:rsidRDefault="008B50C1" w:rsidP="008B50C1">
            <w:pPr>
              <w:jc w:val="center"/>
              <w:rPr>
                <w:rFonts w:ascii="Arial" w:hAnsi="Arial" w:cs="Arial"/>
                <w:color w:val="000000"/>
                <w:sz w:val="20"/>
                <w:szCs w:val="20"/>
              </w:rPr>
            </w:pPr>
            <w:r w:rsidRPr="005240EE">
              <w:rPr>
                <w:rFonts w:ascii="Arial" w:hAnsi="Arial" w:cs="Arial"/>
                <w:color w:val="000000"/>
                <w:sz w:val="20"/>
                <w:szCs w:val="20"/>
              </w:rPr>
              <w:t>GO:0070011</w:t>
            </w:r>
          </w:p>
        </w:tc>
        <w:tc>
          <w:tcPr>
            <w:tcW w:w="2340" w:type="dxa"/>
          </w:tcPr>
          <w:p w:rsidR="008B50C1" w:rsidRPr="005240EE"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20"/>
                <w:szCs w:val="20"/>
              </w:rPr>
            </w:pPr>
            <w:r w:rsidRPr="005240EE">
              <w:rPr>
                <w:rFonts w:ascii="Arial" w:hAnsi="Arial" w:cs="Arial"/>
                <w:b/>
                <w:color w:val="000000"/>
                <w:sz w:val="20"/>
                <w:szCs w:val="20"/>
              </w:rPr>
              <w:t>Peptidase activity, acting on L-amino acid peptides</w:t>
            </w:r>
          </w:p>
        </w:tc>
        <w:tc>
          <w:tcPr>
            <w:tcW w:w="99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Cs/>
                <w:color w:val="000000"/>
              </w:rPr>
            </w:pPr>
            <w:r w:rsidRPr="00A4066F">
              <w:rPr>
                <w:rFonts w:ascii="Calibri" w:hAnsi="Calibri" w:cs="Calibri"/>
                <w:bCs/>
                <w:color w:val="000000"/>
              </w:rPr>
              <w:t>547</w:t>
            </w:r>
          </w:p>
        </w:tc>
        <w:tc>
          <w:tcPr>
            <w:tcW w:w="99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384</w:t>
            </w:r>
          </w:p>
        </w:tc>
        <w:tc>
          <w:tcPr>
            <w:tcW w:w="126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306</w:t>
            </w:r>
          </w:p>
        </w:tc>
        <w:tc>
          <w:tcPr>
            <w:tcW w:w="135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29</w:t>
            </w:r>
          </w:p>
        </w:tc>
        <w:tc>
          <w:tcPr>
            <w:tcW w:w="117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83</w:t>
            </w:r>
          </w:p>
        </w:tc>
        <w:tc>
          <w:tcPr>
            <w:tcW w:w="126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47</w:t>
            </w:r>
          </w:p>
        </w:tc>
        <w:tc>
          <w:tcPr>
            <w:tcW w:w="126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162</w:t>
            </w:r>
          </w:p>
        </w:tc>
        <w:tc>
          <w:tcPr>
            <w:tcW w:w="126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197</w:t>
            </w:r>
          </w:p>
        </w:tc>
        <w:tc>
          <w:tcPr>
            <w:tcW w:w="1170" w:type="dxa"/>
            <w:vAlign w:val="bottom"/>
          </w:tcPr>
          <w:p w:rsidR="008B50C1" w:rsidRPr="00A4066F"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A4066F">
              <w:rPr>
                <w:rFonts w:ascii="Calibri" w:hAnsi="Calibri" w:cs="Calibri"/>
                <w:color w:val="000000"/>
              </w:rPr>
              <w:t>824</w:t>
            </w:r>
          </w:p>
        </w:tc>
      </w:tr>
      <w:tr w:rsidR="008B50C1" w:rsidTr="008B50C1">
        <w:tc>
          <w:tcPr>
            <w:cnfStyle w:val="001000000000" w:firstRow="0" w:lastRow="0" w:firstColumn="1" w:lastColumn="0" w:oddVBand="0" w:evenVBand="0" w:oddHBand="0" w:evenHBand="0" w:firstRowFirstColumn="0" w:firstRowLastColumn="0" w:lastRowFirstColumn="0" w:lastRowLastColumn="0"/>
            <w:tcW w:w="1440" w:type="dxa"/>
            <w:vAlign w:val="bottom"/>
          </w:tcPr>
          <w:p w:rsidR="008B50C1" w:rsidRDefault="008B50C1" w:rsidP="008B50C1">
            <w:pPr>
              <w:jc w:val="center"/>
              <w:rPr>
                <w:rFonts w:ascii="Arial" w:hAnsi="Arial" w:cs="Arial"/>
                <w:color w:val="000000"/>
                <w:sz w:val="20"/>
                <w:szCs w:val="20"/>
              </w:rPr>
            </w:pPr>
            <w:r w:rsidRPr="004C2E1A">
              <w:rPr>
                <w:rFonts w:ascii="Arial" w:hAnsi="Arial" w:cs="Arial"/>
                <w:color w:val="000000"/>
                <w:sz w:val="20"/>
                <w:szCs w:val="20"/>
              </w:rPr>
              <w:t>NA</w:t>
            </w:r>
          </w:p>
          <w:p w:rsidR="008B50C1" w:rsidRPr="004C2E1A" w:rsidRDefault="008B50C1" w:rsidP="008B50C1">
            <w:pPr>
              <w:rPr>
                <w:rFonts w:ascii="Arial" w:hAnsi="Arial" w:cs="Arial"/>
                <w:color w:val="000000"/>
                <w:sz w:val="20"/>
                <w:szCs w:val="20"/>
              </w:rPr>
            </w:pPr>
          </w:p>
        </w:tc>
        <w:tc>
          <w:tcPr>
            <w:tcW w:w="2340" w:type="dxa"/>
            <w:vAlign w:val="bottom"/>
          </w:tcPr>
          <w:p w:rsidR="008B50C1"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0"/>
              </w:rPr>
            </w:pPr>
            <w:r w:rsidRPr="004C2E1A">
              <w:rPr>
                <w:rFonts w:ascii="Arial" w:hAnsi="Arial" w:cs="Arial"/>
                <w:b/>
                <w:color w:val="000000"/>
                <w:sz w:val="20"/>
                <w:szCs w:val="20"/>
              </w:rPr>
              <w:t xml:space="preserve">Cumulative, within </w:t>
            </w:r>
          </w:p>
          <w:p w:rsidR="008B50C1" w:rsidRPr="004C2E1A"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0"/>
              </w:rPr>
            </w:pPr>
            <w:r>
              <w:rPr>
                <w:rFonts w:ascii="Arial" w:hAnsi="Arial" w:cs="Arial"/>
                <w:b/>
                <w:color w:val="000000"/>
                <w:sz w:val="20"/>
                <w:szCs w:val="20"/>
              </w:rPr>
              <w:t>26</w:t>
            </w:r>
            <w:r w:rsidRPr="004C2E1A">
              <w:rPr>
                <w:rFonts w:ascii="Arial" w:hAnsi="Arial" w:cs="Arial"/>
                <w:b/>
                <w:color w:val="000000"/>
                <w:sz w:val="20"/>
                <w:szCs w:val="20"/>
              </w:rPr>
              <w:t xml:space="preserve"> genomic regulatory networks</w:t>
            </w:r>
          </w:p>
        </w:tc>
        <w:tc>
          <w:tcPr>
            <w:tcW w:w="990" w:type="dxa"/>
            <w:vAlign w:val="bottom"/>
          </w:tcPr>
          <w:p w:rsidR="008B50C1"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5237</w:t>
            </w:r>
          </w:p>
        </w:tc>
        <w:tc>
          <w:tcPr>
            <w:tcW w:w="990" w:type="dxa"/>
            <w:vAlign w:val="bottom"/>
          </w:tcPr>
          <w:p w:rsidR="008B50C1"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3054</w:t>
            </w:r>
          </w:p>
        </w:tc>
        <w:tc>
          <w:tcPr>
            <w:tcW w:w="1260" w:type="dxa"/>
            <w:vAlign w:val="bottom"/>
          </w:tcPr>
          <w:p w:rsidR="008B50C1"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1105</w:t>
            </w:r>
          </w:p>
        </w:tc>
        <w:tc>
          <w:tcPr>
            <w:tcW w:w="1350" w:type="dxa"/>
            <w:vAlign w:val="bottom"/>
          </w:tcPr>
          <w:p w:rsidR="008B50C1"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121</w:t>
            </w:r>
          </w:p>
        </w:tc>
        <w:tc>
          <w:tcPr>
            <w:tcW w:w="1170" w:type="dxa"/>
            <w:vAlign w:val="bottom"/>
          </w:tcPr>
          <w:p w:rsidR="008B50C1"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190</w:t>
            </w:r>
          </w:p>
        </w:tc>
        <w:tc>
          <w:tcPr>
            <w:tcW w:w="1260" w:type="dxa"/>
            <w:vAlign w:val="bottom"/>
          </w:tcPr>
          <w:p w:rsidR="008B50C1"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71</w:t>
            </w:r>
          </w:p>
        </w:tc>
        <w:tc>
          <w:tcPr>
            <w:tcW w:w="1260" w:type="dxa"/>
            <w:vAlign w:val="bottom"/>
          </w:tcPr>
          <w:p w:rsidR="008B50C1"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424</w:t>
            </w:r>
          </w:p>
        </w:tc>
        <w:tc>
          <w:tcPr>
            <w:tcW w:w="1260" w:type="dxa"/>
            <w:vAlign w:val="bottom"/>
          </w:tcPr>
          <w:p w:rsidR="008B50C1"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486</w:t>
            </w:r>
          </w:p>
        </w:tc>
        <w:tc>
          <w:tcPr>
            <w:tcW w:w="1170" w:type="dxa"/>
            <w:vAlign w:val="bottom"/>
          </w:tcPr>
          <w:p w:rsidR="008B50C1"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2397</w:t>
            </w:r>
          </w:p>
        </w:tc>
      </w:tr>
      <w:tr w:rsidR="008B50C1" w:rsidTr="008B50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vAlign w:val="bottom"/>
          </w:tcPr>
          <w:p w:rsidR="008B50C1" w:rsidRDefault="008B50C1" w:rsidP="008B50C1">
            <w:pPr>
              <w:jc w:val="center"/>
              <w:rPr>
                <w:rFonts w:ascii="Arial" w:hAnsi="Arial" w:cs="Arial"/>
                <w:color w:val="000000"/>
                <w:sz w:val="20"/>
                <w:szCs w:val="20"/>
              </w:rPr>
            </w:pPr>
            <w:r w:rsidRPr="004C2E1A">
              <w:rPr>
                <w:rFonts w:ascii="Arial" w:hAnsi="Arial" w:cs="Arial"/>
                <w:color w:val="000000"/>
                <w:sz w:val="20"/>
                <w:szCs w:val="20"/>
              </w:rPr>
              <w:t>NA</w:t>
            </w:r>
          </w:p>
          <w:p w:rsidR="008B50C1" w:rsidRPr="004C2E1A" w:rsidRDefault="008B50C1" w:rsidP="008B50C1">
            <w:pPr>
              <w:rPr>
                <w:rFonts w:ascii="Arial" w:hAnsi="Arial" w:cs="Arial"/>
                <w:color w:val="000000"/>
                <w:sz w:val="20"/>
                <w:szCs w:val="20"/>
              </w:rPr>
            </w:pPr>
          </w:p>
        </w:tc>
        <w:tc>
          <w:tcPr>
            <w:tcW w:w="2340" w:type="dxa"/>
            <w:vAlign w:val="bottom"/>
          </w:tcPr>
          <w:p w:rsidR="008B50C1" w:rsidRPr="004C2E1A"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20"/>
                <w:szCs w:val="20"/>
              </w:rPr>
            </w:pPr>
            <w:r>
              <w:rPr>
                <w:rFonts w:ascii="Arial" w:hAnsi="Arial" w:cs="Arial"/>
                <w:b/>
                <w:color w:val="000000"/>
                <w:sz w:val="20"/>
                <w:szCs w:val="20"/>
              </w:rPr>
              <w:t>Cumulative, excluding 26</w:t>
            </w:r>
            <w:r w:rsidRPr="004C2E1A">
              <w:rPr>
                <w:rFonts w:ascii="Arial" w:hAnsi="Arial" w:cs="Arial"/>
                <w:b/>
                <w:color w:val="000000"/>
                <w:sz w:val="20"/>
                <w:szCs w:val="20"/>
              </w:rPr>
              <w:t xml:space="preserve"> genomic regulatory networks</w:t>
            </w:r>
          </w:p>
        </w:tc>
        <w:tc>
          <w:tcPr>
            <w:tcW w:w="990" w:type="dxa"/>
            <w:vAlign w:val="bottom"/>
          </w:tcPr>
          <w:p w:rsidR="008B50C1"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3602</w:t>
            </w:r>
          </w:p>
        </w:tc>
        <w:tc>
          <w:tcPr>
            <w:tcW w:w="990" w:type="dxa"/>
            <w:vAlign w:val="bottom"/>
          </w:tcPr>
          <w:p w:rsidR="008B50C1"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2685</w:t>
            </w:r>
          </w:p>
        </w:tc>
        <w:tc>
          <w:tcPr>
            <w:tcW w:w="1260" w:type="dxa"/>
            <w:vAlign w:val="bottom"/>
          </w:tcPr>
          <w:p w:rsidR="008B50C1"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27</w:t>
            </w:r>
          </w:p>
        </w:tc>
        <w:tc>
          <w:tcPr>
            <w:tcW w:w="1350" w:type="dxa"/>
            <w:vAlign w:val="bottom"/>
          </w:tcPr>
          <w:p w:rsidR="008B50C1"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12</w:t>
            </w:r>
          </w:p>
        </w:tc>
        <w:tc>
          <w:tcPr>
            <w:tcW w:w="1170" w:type="dxa"/>
            <w:vAlign w:val="bottom"/>
          </w:tcPr>
          <w:p w:rsidR="008B50C1"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23</w:t>
            </w:r>
          </w:p>
        </w:tc>
        <w:tc>
          <w:tcPr>
            <w:tcW w:w="1260" w:type="dxa"/>
            <w:vAlign w:val="bottom"/>
          </w:tcPr>
          <w:p w:rsidR="008B50C1"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17</w:t>
            </w:r>
          </w:p>
        </w:tc>
        <w:tc>
          <w:tcPr>
            <w:tcW w:w="1260" w:type="dxa"/>
            <w:vAlign w:val="bottom"/>
          </w:tcPr>
          <w:p w:rsidR="008B50C1"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26</w:t>
            </w:r>
          </w:p>
        </w:tc>
        <w:tc>
          <w:tcPr>
            <w:tcW w:w="1260" w:type="dxa"/>
            <w:vAlign w:val="bottom"/>
          </w:tcPr>
          <w:p w:rsidR="008B50C1"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24</w:t>
            </w:r>
          </w:p>
        </w:tc>
        <w:tc>
          <w:tcPr>
            <w:tcW w:w="1170" w:type="dxa"/>
            <w:vAlign w:val="bottom"/>
          </w:tcPr>
          <w:p w:rsidR="008B50C1"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129</w:t>
            </w:r>
          </w:p>
        </w:tc>
      </w:tr>
    </w:tbl>
    <w:p w:rsidR="008B50C1" w:rsidRPr="00DF487C" w:rsidRDefault="008B50C1" w:rsidP="008B50C1">
      <w:pPr>
        <w:rPr>
          <w:rFonts w:ascii="Arial" w:hAnsi="Arial" w:cs="Arial"/>
          <w:sz w:val="20"/>
        </w:rPr>
      </w:pPr>
      <w:r w:rsidRPr="00937F02">
        <w:rPr>
          <w:rFonts w:ascii="Arial" w:hAnsi="Arial" w:cs="Arial"/>
          <w:sz w:val="20"/>
        </w:rPr>
        <w:t>Legend: *For each GRN, reported numbers of LTRs, genes, and GRMs were determined at the statistical significance threshold of the Binominal FDR Q-Value  &lt; 0.001 applied to 6 independent gene ontology-specific enrichment analyses employing the GREAT algorithm (Supplementa</w:t>
      </w:r>
      <w:r>
        <w:rPr>
          <w:rFonts w:ascii="Arial" w:hAnsi="Arial" w:cs="Arial"/>
          <w:sz w:val="20"/>
        </w:rPr>
        <w:t>ry Materials); **, A total of 26</w:t>
      </w:r>
      <w:r w:rsidRPr="00937F02">
        <w:rPr>
          <w:rFonts w:ascii="Arial" w:hAnsi="Arial" w:cs="Arial"/>
          <w:sz w:val="20"/>
        </w:rPr>
        <w:t xml:space="preserve"> gene ontology enrichment analyses-defined GRNs associated with human embryo </w:t>
      </w:r>
      <w:r w:rsidR="002F5992">
        <w:rPr>
          <w:rFonts w:ascii="Arial" w:hAnsi="Arial" w:cs="Arial"/>
          <w:sz w:val="20"/>
        </w:rPr>
        <w:t>regulatory LTR</w:t>
      </w:r>
      <w:r w:rsidRPr="00937F02">
        <w:rPr>
          <w:rFonts w:ascii="Arial" w:hAnsi="Arial" w:cs="Arial"/>
          <w:sz w:val="20"/>
        </w:rPr>
        <w:t>s were identified at the statistical significance threshold of the Binominal FDR Q-value &lt; 0.05 (Supplementary Table S1).</w:t>
      </w:r>
      <w:r>
        <w:rPr>
          <w:rFonts w:ascii="Arial" w:hAnsi="Arial" w:cs="Arial"/>
          <w:sz w:val="20"/>
        </w:rPr>
        <w:t xml:space="preserve"> GRNs contain from 529 to 1486 </w:t>
      </w:r>
      <w:r w:rsidR="002F5992">
        <w:rPr>
          <w:rFonts w:ascii="Arial" w:hAnsi="Arial" w:cs="Arial"/>
          <w:sz w:val="20"/>
        </w:rPr>
        <w:t>regulatory LTR</w:t>
      </w:r>
      <w:r>
        <w:rPr>
          <w:rFonts w:ascii="Arial" w:hAnsi="Arial" w:cs="Arial"/>
          <w:sz w:val="20"/>
        </w:rPr>
        <w:t xml:space="preserve"> elements and from 199 to 805 down-stream target genes. </w:t>
      </w:r>
    </w:p>
    <w:p w:rsidR="00866FAE" w:rsidRDefault="00866FAE" w:rsidP="008B50C1">
      <w:pPr>
        <w:rPr>
          <w:rFonts w:ascii="Arial" w:hAnsi="Arial" w:cs="Arial"/>
          <w:b/>
          <w:sz w:val="20"/>
          <w:szCs w:val="20"/>
        </w:rPr>
      </w:pPr>
    </w:p>
    <w:p w:rsidR="00866FAE" w:rsidRDefault="00866FAE" w:rsidP="008B50C1">
      <w:pPr>
        <w:rPr>
          <w:rFonts w:ascii="Arial" w:hAnsi="Arial" w:cs="Arial"/>
          <w:b/>
          <w:sz w:val="20"/>
          <w:szCs w:val="20"/>
        </w:rPr>
      </w:pPr>
    </w:p>
    <w:p w:rsidR="00866FAE" w:rsidRDefault="00866FAE" w:rsidP="008B50C1">
      <w:pPr>
        <w:rPr>
          <w:rFonts w:ascii="Arial" w:hAnsi="Arial" w:cs="Arial"/>
          <w:b/>
          <w:sz w:val="20"/>
          <w:szCs w:val="20"/>
        </w:rPr>
      </w:pPr>
    </w:p>
    <w:p w:rsidR="00866FAE" w:rsidRDefault="00866FAE" w:rsidP="008B50C1">
      <w:pPr>
        <w:rPr>
          <w:rFonts w:ascii="Arial" w:hAnsi="Arial" w:cs="Arial"/>
          <w:b/>
          <w:sz w:val="20"/>
          <w:szCs w:val="20"/>
        </w:rPr>
      </w:pPr>
    </w:p>
    <w:p w:rsidR="00866FAE" w:rsidRDefault="00866FAE" w:rsidP="008B50C1">
      <w:pPr>
        <w:rPr>
          <w:rFonts w:ascii="Arial" w:hAnsi="Arial" w:cs="Arial"/>
          <w:b/>
          <w:sz w:val="20"/>
          <w:szCs w:val="20"/>
        </w:rPr>
      </w:pPr>
    </w:p>
    <w:p w:rsidR="00866FAE" w:rsidRDefault="00866FAE" w:rsidP="008B50C1">
      <w:pPr>
        <w:rPr>
          <w:rFonts w:ascii="Arial" w:hAnsi="Arial" w:cs="Arial"/>
          <w:b/>
          <w:sz w:val="20"/>
          <w:szCs w:val="20"/>
        </w:rPr>
      </w:pPr>
    </w:p>
    <w:p w:rsidR="00866FAE" w:rsidRDefault="00866FAE" w:rsidP="008B50C1">
      <w:pPr>
        <w:rPr>
          <w:rFonts w:ascii="Arial" w:hAnsi="Arial" w:cs="Arial"/>
          <w:b/>
          <w:sz w:val="20"/>
          <w:szCs w:val="20"/>
        </w:rPr>
      </w:pPr>
    </w:p>
    <w:p w:rsidR="00866FAE" w:rsidRDefault="00866FAE" w:rsidP="008B50C1">
      <w:pPr>
        <w:rPr>
          <w:rFonts w:ascii="Arial" w:hAnsi="Arial" w:cs="Arial"/>
          <w:b/>
          <w:sz w:val="20"/>
          <w:szCs w:val="20"/>
        </w:rPr>
      </w:pPr>
    </w:p>
    <w:p w:rsidR="00866FAE" w:rsidRDefault="00866FAE" w:rsidP="008B50C1">
      <w:pPr>
        <w:rPr>
          <w:rFonts w:ascii="Arial" w:hAnsi="Arial" w:cs="Arial"/>
          <w:b/>
          <w:sz w:val="20"/>
          <w:szCs w:val="20"/>
        </w:rPr>
      </w:pPr>
    </w:p>
    <w:p w:rsidR="00372253" w:rsidRDefault="00372253" w:rsidP="008B50C1">
      <w:pPr>
        <w:rPr>
          <w:rFonts w:ascii="Arial" w:hAnsi="Arial" w:cs="Arial"/>
          <w:b/>
          <w:sz w:val="20"/>
          <w:szCs w:val="20"/>
        </w:rPr>
      </w:pPr>
    </w:p>
    <w:p w:rsidR="008B50C1" w:rsidRPr="00DF487C" w:rsidRDefault="008B50C1" w:rsidP="008B50C1">
      <w:pPr>
        <w:rPr>
          <w:rFonts w:ascii="Arial" w:hAnsi="Arial" w:cs="Arial"/>
          <w:sz w:val="20"/>
          <w:szCs w:val="20"/>
        </w:rPr>
      </w:pPr>
      <w:r w:rsidRPr="00DF487C">
        <w:rPr>
          <w:rFonts w:ascii="Arial" w:hAnsi="Arial" w:cs="Arial"/>
          <w:b/>
          <w:sz w:val="20"/>
          <w:szCs w:val="20"/>
        </w:rPr>
        <w:lastRenderedPageBreak/>
        <w:t>Table 4.</w:t>
      </w:r>
      <w:r w:rsidRPr="00DF487C">
        <w:rPr>
          <w:rFonts w:ascii="Arial" w:hAnsi="Arial" w:cs="Arial"/>
          <w:sz w:val="20"/>
          <w:szCs w:val="20"/>
        </w:rPr>
        <w:t xml:space="preserve"> Quantitative profiles of </w:t>
      </w:r>
      <w:r w:rsidR="002F5992">
        <w:rPr>
          <w:rFonts w:ascii="Arial" w:hAnsi="Arial" w:cs="Arial"/>
          <w:sz w:val="20"/>
          <w:szCs w:val="20"/>
        </w:rPr>
        <w:t>regulatory LTR</w:t>
      </w:r>
      <w:r w:rsidRPr="00DF487C">
        <w:rPr>
          <w:rFonts w:ascii="Arial" w:hAnsi="Arial" w:cs="Arial"/>
          <w:sz w:val="20"/>
          <w:szCs w:val="20"/>
        </w:rPr>
        <w:t xml:space="preserve"> elements and down-stream target genes within 26 gene ontology enrichment analysis-defined genomic regulatory networks (GRNs) of the genomic dominion of human embryo </w:t>
      </w:r>
      <w:r w:rsidR="002F5992">
        <w:rPr>
          <w:rFonts w:ascii="Arial" w:hAnsi="Arial" w:cs="Arial"/>
          <w:sz w:val="20"/>
          <w:szCs w:val="20"/>
        </w:rPr>
        <w:t>regulatory LTR</w:t>
      </w:r>
      <w:r w:rsidRPr="00DF487C">
        <w:rPr>
          <w:rFonts w:ascii="Arial" w:hAnsi="Arial" w:cs="Arial"/>
          <w:sz w:val="20"/>
          <w:szCs w:val="20"/>
        </w:rPr>
        <w:t>s.</w:t>
      </w:r>
    </w:p>
    <w:tbl>
      <w:tblPr>
        <w:tblStyle w:val="PlainTable2"/>
        <w:tblW w:w="14490" w:type="dxa"/>
        <w:tblLayout w:type="fixed"/>
        <w:tblLook w:val="04A0" w:firstRow="1" w:lastRow="0" w:firstColumn="1" w:lastColumn="0" w:noHBand="0" w:noVBand="1"/>
      </w:tblPr>
      <w:tblGrid>
        <w:gridCol w:w="1440"/>
        <w:gridCol w:w="5310"/>
        <w:gridCol w:w="1080"/>
        <w:gridCol w:w="1080"/>
        <w:gridCol w:w="1170"/>
        <w:gridCol w:w="1440"/>
        <w:gridCol w:w="990"/>
        <w:gridCol w:w="990"/>
        <w:gridCol w:w="990"/>
      </w:tblGrid>
      <w:tr w:rsidR="008B50C1" w:rsidRPr="00DF487C" w:rsidTr="008B50C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Gene ontology ID</w:t>
            </w:r>
          </w:p>
        </w:tc>
        <w:tc>
          <w:tcPr>
            <w:tcW w:w="5310" w:type="dxa"/>
          </w:tcPr>
          <w:p w:rsidR="008B50C1" w:rsidRPr="00DF487C" w:rsidRDefault="008B50C1" w:rsidP="008B50C1">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Genomic regulatory networks</w:t>
            </w:r>
          </w:p>
        </w:tc>
        <w:tc>
          <w:tcPr>
            <w:tcW w:w="1080" w:type="dxa"/>
            <w:vAlign w:val="bottom"/>
          </w:tcPr>
          <w:p w:rsidR="008B50C1" w:rsidRPr="00DF487C" w:rsidRDefault="008B50C1" w:rsidP="008B50C1">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Number, LTR7</w:t>
            </w:r>
          </w:p>
        </w:tc>
        <w:tc>
          <w:tcPr>
            <w:tcW w:w="1080" w:type="dxa"/>
            <w:vAlign w:val="bottom"/>
          </w:tcPr>
          <w:p w:rsidR="008B50C1" w:rsidRPr="00DF487C" w:rsidRDefault="008B50C1" w:rsidP="008B50C1">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Number, MLT2A1</w:t>
            </w:r>
          </w:p>
        </w:tc>
        <w:tc>
          <w:tcPr>
            <w:tcW w:w="1170" w:type="dxa"/>
            <w:vAlign w:val="bottom"/>
          </w:tcPr>
          <w:p w:rsidR="008B50C1" w:rsidRPr="00DF487C" w:rsidRDefault="008B50C1" w:rsidP="008B50C1">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Number,  MLT2A2</w:t>
            </w:r>
          </w:p>
        </w:tc>
        <w:tc>
          <w:tcPr>
            <w:tcW w:w="1440" w:type="dxa"/>
            <w:vAlign w:val="bottom"/>
          </w:tcPr>
          <w:p w:rsidR="008B50C1" w:rsidRPr="00DF487C" w:rsidRDefault="008B50C1" w:rsidP="008B50C1">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Number of linked genes</w:t>
            </w:r>
          </w:p>
        </w:tc>
        <w:tc>
          <w:tcPr>
            <w:tcW w:w="990" w:type="dxa"/>
            <w:vAlign w:val="bottom"/>
          </w:tcPr>
          <w:p w:rsidR="008B50C1" w:rsidRPr="00DF487C" w:rsidRDefault="008B50C1" w:rsidP="008B50C1">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Percent, LTR7</w:t>
            </w:r>
          </w:p>
        </w:tc>
        <w:tc>
          <w:tcPr>
            <w:tcW w:w="990" w:type="dxa"/>
            <w:vAlign w:val="bottom"/>
          </w:tcPr>
          <w:p w:rsidR="008B50C1" w:rsidRPr="00DF487C" w:rsidRDefault="008B50C1" w:rsidP="008B50C1">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Percent, MLT2A1</w:t>
            </w:r>
          </w:p>
        </w:tc>
        <w:tc>
          <w:tcPr>
            <w:tcW w:w="990" w:type="dxa"/>
            <w:vAlign w:val="bottom"/>
          </w:tcPr>
          <w:p w:rsidR="008B50C1" w:rsidRPr="00DF487C" w:rsidRDefault="008B50C1" w:rsidP="008B50C1">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Percent, MLT2A2</w:t>
            </w:r>
          </w:p>
        </w:tc>
      </w:tr>
      <w:tr w:rsidR="008B50C1" w:rsidRPr="00DF487C" w:rsidTr="008B50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NA</w:t>
            </w:r>
          </w:p>
        </w:tc>
        <w:tc>
          <w:tcPr>
            <w:tcW w:w="5310" w:type="dxa"/>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20"/>
                <w:szCs w:val="20"/>
              </w:rPr>
            </w:pPr>
            <w:r w:rsidRPr="00DF487C">
              <w:rPr>
                <w:rFonts w:ascii="Arial" w:hAnsi="Arial" w:cs="Arial"/>
                <w:b/>
                <w:color w:val="000000"/>
                <w:sz w:val="20"/>
                <w:szCs w:val="20"/>
              </w:rPr>
              <w:t xml:space="preserve">Genomic dominion of human embryo </w:t>
            </w:r>
            <w:r w:rsidR="002F5992">
              <w:rPr>
                <w:rFonts w:ascii="Arial" w:hAnsi="Arial" w:cs="Arial"/>
                <w:b/>
                <w:color w:val="000000"/>
                <w:sz w:val="20"/>
                <w:szCs w:val="20"/>
              </w:rPr>
              <w:t>regulatory LTR</w:t>
            </w:r>
            <w:r w:rsidRPr="00DF487C">
              <w:rPr>
                <w:rFonts w:ascii="Arial" w:hAnsi="Arial" w:cs="Arial"/>
                <w:b/>
                <w:color w:val="000000"/>
                <w:sz w:val="20"/>
                <w:szCs w:val="20"/>
              </w:rPr>
              <w:t>s</w:t>
            </w:r>
          </w:p>
        </w:tc>
        <w:tc>
          <w:tcPr>
            <w:tcW w:w="108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3354</w:t>
            </w:r>
          </w:p>
        </w:tc>
        <w:tc>
          <w:tcPr>
            <w:tcW w:w="108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2416</w:t>
            </w:r>
          </w:p>
        </w:tc>
        <w:tc>
          <w:tcPr>
            <w:tcW w:w="117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3069</w:t>
            </w:r>
          </w:p>
        </w:tc>
        <w:tc>
          <w:tcPr>
            <w:tcW w:w="144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5444</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100.0</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100.0</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100.0</w:t>
            </w:r>
          </w:p>
        </w:tc>
      </w:tr>
      <w:tr w:rsidR="008B50C1" w:rsidRPr="00DF487C" w:rsidTr="008B50C1">
        <w:tc>
          <w:tcPr>
            <w:cnfStyle w:val="001000000000" w:firstRow="0" w:lastRow="0" w:firstColumn="1" w:lastColumn="0" w:oddVBand="0" w:evenVBand="0" w:oddHBand="0" w:evenHBand="0" w:firstRowFirstColumn="0" w:firstRowLastColumn="0" w:lastRowFirstColumn="0" w:lastRowLastColumn="0"/>
            <w:tcW w:w="1440" w:type="dxa"/>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GO:0051960</w:t>
            </w:r>
          </w:p>
        </w:tc>
        <w:tc>
          <w:tcPr>
            <w:tcW w:w="5310" w:type="dxa"/>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0"/>
              </w:rPr>
            </w:pPr>
            <w:r w:rsidRPr="00DF487C">
              <w:rPr>
                <w:rFonts w:ascii="Arial" w:hAnsi="Arial" w:cs="Arial"/>
                <w:b/>
                <w:color w:val="000000"/>
                <w:sz w:val="20"/>
                <w:szCs w:val="20"/>
              </w:rPr>
              <w:t>Regulation of nervous system development</w:t>
            </w:r>
          </w:p>
        </w:tc>
        <w:tc>
          <w:tcPr>
            <w:tcW w:w="108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500</w:t>
            </w:r>
          </w:p>
        </w:tc>
        <w:tc>
          <w:tcPr>
            <w:tcW w:w="108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409</w:t>
            </w:r>
          </w:p>
        </w:tc>
        <w:tc>
          <w:tcPr>
            <w:tcW w:w="117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515</w:t>
            </w:r>
          </w:p>
        </w:tc>
        <w:tc>
          <w:tcPr>
            <w:tcW w:w="144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716</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14.9</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16.9</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16.8</w:t>
            </w:r>
          </w:p>
        </w:tc>
      </w:tr>
      <w:tr w:rsidR="008B50C1" w:rsidRPr="00DF487C" w:rsidTr="008B50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GO:0051962</w:t>
            </w:r>
          </w:p>
        </w:tc>
        <w:tc>
          <w:tcPr>
            <w:tcW w:w="5310" w:type="dxa"/>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20"/>
                <w:szCs w:val="20"/>
              </w:rPr>
            </w:pPr>
            <w:r w:rsidRPr="00DF487C">
              <w:rPr>
                <w:rFonts w:ascii="Arial" w:hAnsi="Arial" w:cs="Arial"/>
                <w:b/>
                <w:color w:val="000000"/>
                <w:sz w:val="20"/>
                <w:szCs w:val="20"/>
              </w:rPr>
              <w:t>Positive regulation of nervous system development</w:t>
            </w:r>
          </w:p>
        </w:tc>
        <w:tc>
          <w:tcPr>
            <w:tcW w:w="108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333</w:t>
            </w:r>
          </w:p>
        </w:tc>
        <w:tc>
          <w:tcPr>
            <w:tcW w:w="108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290</w:t>
            </w:r>
          </w:p>
        </w:tc>
        <w:tc>
          <w:tcPr>
            <w:tcW w:w="117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360</w:t>
            </w:r>
          </w:p>
        </w:tc>
        <w:tc>
          <w:tcPr>
            <w:tcW w:w="144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443</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9.9</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12.0</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11.7</w:t>
            </w:r>
          </w:p>
        </w:tc>
      </w:tr>
      <w:tr w:rsidR="008B50C1" w:rsidRPr="00DF487C" w:rsidTr="008B50C1">
        <w:tc>
          <w:tcPr>
            <w:cnfStyle w:val="001000000000" w:firstRow="0" w:lastRow="0" w:firstColumn="1" w:lastColumn="0" w:oddVBand="0" w:evenVBand="0" w:oddHBand="0" w:evenHBand="0" w:firstRowFirstColumn="0" w:firstRowLastColumn="0" w:lastRowFirstColumn="0" w:lastRowLastColumn="0"/>
            <w:tcW w:w="1440" w:type="dxa"/>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GO:0098609</w:t>
            </w:r>
          </w:p>
        </w:tc>
        <w:tc>
          <w:tcPr>
            <w:tcW w:w="5310" w:type="dxa"/>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0"/>
              </w:rPr>
            </w:pPr>
            <w:r w:rsidRPr="00DF487C">
              <w:rPr>
                <w:rFonts w:ascii="Arial" w:hAnsi="Arial" w:cs="Arial"/>
                <w:b/>
                <w:color w:val="000000"/>
                <w:sz w:val="20"/>
                <w:szCs w:val="20"/>
              </w:rPr>
              <w:t>Cell-cell adhesion</w:t>
            </w:r>
          </w:p>
        </w:tc>
        <w:tc>
          <w:tcPr>
            <w:tcW w:w="108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385</w:t>
            </w:r>
          </w:p>
        </w:tc>
        <w:tc>
          <w:tcPr>
            <w:tcW w:w="108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301</w:t>
            </w:r>
          </w:p>
        </w:tc>
        <w:tc>
          <w:tcPr>
            <w:tcW w:w="117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403</w:t>
            </w:r>
          </w:p>
        </w:tc>
        <w:tc>
          <w:tcPr>
            <w:tcW w:w="144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492</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11.5</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12.5</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13.1</w:t>
            </w:r>
          </w:p>
        </w:tc>
      </w:tr>
      <w:tr w:rsidR="008B50C1" w:rsidRPr="00DF487C" w:rsidTr="008B50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GO:0098742</w:t>
            </w:r>
          </w:p>
        </w:tc>
        <w:tc>
          <w:tcPr>
            <w:tcW w:w="5310" w:type="dxa"/>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20"/>
                <w:szCs w:val="20"/>
              </w:rPr>
            </w:pPr>
            <w:r w:rsidRPr="00DF487C">
              <w:rPr>
                <w:rFonts w:ascii="Arial" w:hAnsi="Arial" w:cs="Arial"/>
                <w:b/>
                <w:color w:val="000000"/>
                <w:sz w:val="20"/>
                <w:szCs w:val="20"/>
              </w:rPr>
              <w:t>Cell-cell adhesion via plasma-membrane adhesion molecules</w:t>
            </w:r>
          </w:p>
        </w:tc>
        <w:tc>
          <w:tcPr>
            <w:tcW w:w="108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235</w:t>
            </w:r>
          </w:p>
        </w:tc>
        <w:tc>
          <w:tcPr>
            <w:tcW w:w="108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186</w:t>
            </w:r>
          </w:p>
        </w:tc>
        <w:tc>
          <w:tcPr>
            <w:tcW w:w="117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256</w:t>
            </w:r>
          </w:p>
        </w:tc>
        <w:tc>
          <w:tcPr>
            <w:tcW w:w="144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199</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7.0</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7.7</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8.3</w:t>
            </w:r>
          </w:p>
        </w:tc>
      </w:tr>
      <w:tr w:rsidR="008B50C1" w:rsidRPr="00DF487C" w:rsidTr="008B50C1">
        <w:tc>
          <w:tcPr>
            <w:cnfStyle w:val="001000000000" w:firstRow="0" w:lastRow="0" w:firstColumn="1" w:lastColumn="0" w:oddVBand="0" w:evenVBand="0" w:oddHBand="0" w:evenHBand="0" w:firstRowFirstColumn="0" w:firstRowLastColumn="0" w:lastRowFirstColumn="0" w:lastRowLastColumn="0"/>
            <w:tcW w:w="1440" w:type="dxa"/>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GO:0099537</w:t>
            </w:r>
          </w:p>
        </w:tc>
        <w:tc>
          <w:tcPr>
            <w:tcW w:w="5310" w:type="dxa"/>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0"/>
              </w:rPr>
            </w:pPr>
            <w:r w:rsidRPr="00DF487C">
              <w:rPr>
                <w:rFonts w:ascii="Arial" w:hAnsi="Arial" w:cs="Arial"/>
                <w:b/>
                <w:color w:val="000000"/>
                <w:sz w:val="20"/>
                <w:szCs w:val="20"/>
              </w:rPr>
              <w:t>Trans-synaptic signaling</w:t>
            </w:r>
          </w:p>
        </w:tc>
        <w:tc>
          <w:tcPr>
            <w:tcW w:w="108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215</w:t>
            </w:r>
          </w:p>
        </w:tc>
        <w:tc>
          <w:tcPr>
            <w:tcW w:w="108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161</w:t>
            </w:r>
          </w:p>
        </w:tc>
        <w:tc>
          <w:tcPr>
            <w:tcW w:w="117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240</w:t>
            </w:r>
          </w:p>
        </w:tc>
        <w:tc>
          <w:tcPr>
            <w:tcW w:w="144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344</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6.4</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6.7</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7.8</w:t>
            </w:r>
          </w:p>
        </w:tc>
      </w:tr>
      <w:tr w:rsidR="008B50C1" w:rsidRPr="00DF487C" w:rsidTr="008B50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GO:0007268</w:t>
            </w:r>
          </w:p>
        </w:tc>
        <w:tc>
          <w:tcPr>
            <w:tcW w:w="5310" w:type="dxa"/>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20"/>
                <w:szCs w:val="20"/>
              </w:rPr>
            </w:pPr>
            <w:r w:rsidRPr="00DF487C">
              <w:rPr>
                <w:rFonts w:ascii="Arial" w:hAnsi="Arial" w:cs="Arial"/>
                <w:b/>
                <w:color w:val="000000"/>
                <w:sz w:val="20"/>
                <w:szCs w:val="20"/>
              </w:rPr>
              <w:t>Chemical synaptic transmission</w:t>
            </w:r>
          </w:p>
        </w:tc>
        <w:tc>
          <w:tcPr>
            <w:tcW w:w="108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211</w:t>
            </w:r>
          </w:p>
        </w:tc>
        <w:tc>
          <w:tcPr>
            <w:tcW w:w="108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158</w:t>
            </w:r>
          </w:p>
        </w:tc>
        <w:tc>
          <w:tcPr>
            <w:tcW w:w="117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235</w:t>
            </w:r>
          </w:p>
        </w:tc>
        <w:tc>
          <w:tcPr>
            <w:tcW w:w="144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332</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6.3</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6.5</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7.7</w:t>
            </w:r>
          </w:p>
        </w:tc>
      </w:tr>
      <w:tr w:rsidR="008B50C1" w:rsidRPr="00DF487C" w:rsidTr="008B50C1">
        <w:tc>
          <w:tcPr>
            <w:cnfStyle w:val="001000000000" w:firstRow="0" w:lastRow="0" w:firstColumn="1" w:lastColumn="0" w:oddVBand="0" w:evenVBand="0" w:oddHBand="0" w:evenHBand="0" w:firstRowFirstColumn="0" w:firstRowLastColumn="0" w:lastRowFirstColumn="0" w:lastRowLastColumn="0"/>
            <w:tcW w:w="1440" w:type="dxa"/>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GO:0050804</w:t>
            </w:r>
          </w:p>
        </w:tc>
        <w:tc>
          <w:tcPr>
            <w:tcW w:w="5310" w:type="dxa"/>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0"/>
              </w:rPr>
            </w:pPr>
            <w:r w:rsidRPr="00DF487C">
              <w:rPr>
                <w:rFonts w:ascii="Arial" w:hAnsi="Arial" w:cs="Arial"/>
                <w:b/>
                <w:color w:val="000000"/>
                <w:sz w:val="20"/>
                <w:szCs w:val="20"/>
              </w:rPr>
              <w:t>Modulation of synaptic transmission</w:t>
            </w:r>
          </w:p>
        </w:tc>
        <w:tc>
          <w:tcPr>
            <w:tcW w:w="108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174</w:t>
            </w:r>
          </w:p>
        </w:tc>
        <w:tc>
          <w:tcPr>
            <w:tcW w:w="108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133</w:t>
            </w:r>
          </w:p>
        </w:tc>
        <w:tc>
          <w:tcPr>
            <w:tcW w:w="117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222</w:t>
            </w:r>
          </w:p>
        </w:tc>
        <w:tc>
          <w:tcPr>
            <w:tcW w:w="144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298</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5.2</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5.5</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7.2</w:t>
            </w:r>
          </w:p>
        </w:tc>
      </w:tr>
      <w:tr w:rsidR="008B50C1" w:rsidRPr="00DF487C" w:rsidTr="008B50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GO:0044708</w:t>
            </w:r>
          </w:p>
        </w:tc>
        <w:tc>
          <w:tcPr>
            <w:tcW w:w="5310" w:type="dxa"/>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20"/>
                <w:szCs w:val="20"/>
              </w:rPr>
            </w:pPr>
            <w:r w:rsidRPr="00DF487C">
              <w:rPr>
                <w:rFonts w:ascii="Arial" w:hAnsi="Arial" w:cs="Arial"/>
                <w:b/>
                <w:color w:val="000000"/>
                <w:sz w:val="20"/>
                <w:szCs w:val="20"/>
              </w:rPr>
              <w:t>Single organism behavior</w:t>
            </w:r>
          </w:p>
        </w:tc>
        <w:tc>
          <w:tcPr>
            <w:tcW w:w="108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230</w:t>
            </w:r>
          </w:p>
        </w:tc>
        <w:tc>
          <w:tcPr>
            <w:tcW w:w="108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185</w:t>
            </w:r>
          </w:p>
        </w:tc>
        <w:tc>
          <w:tcPr>
            <w:tcW w:w="117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259</w:t>
            </w:r>
          </w:p>
        </w:tc>
        <w:tc>
          <w:tcPr>
            <w:tcW w:w="144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372</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6.9</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7.7</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8.4</w:t>
            </w:r>
          </w:p>
        </w:tc>
      </w:tr>
      <w:tr w:rsidR="008B50C1" w:rsidRPr="00DF487C" w:rsidTr="008B50C1">
        <w:tc>
          <w:tcPr>
            <w:cnfStyle w:val="001000000000" w:firstRow="0" w:lastRow="0" w:firstColumn="1" w:lastColumn="0" w:oddVBand="0" w:evenVBand="0" w:oddHBand="0" w:evenHBand="0" w:firstRowFirstColumn="0" w:firstRowLastColumn="0" w:lastRowFirstColumn="0" w:lastRowLastColumn="0"/>
            <w:tcW w:w="1440" w:type="dxa"/>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GO:0042391</w:t>
            </w:r>
          </w:p>
        </w:tc>
        <w:tc>
          <w:tcPr>
            <w:tcW w:w="5310" w:type="dxa"/>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0"/>
              </w:rPr>
            </w:pPr>
            <w:r w:rsidRPr="00DF487C">
              <w:rPr>
                <w:rFonts w:ascii="Arial" w:hAnsi="Arial" w:cs="Arial"/>
                <w:b/>
                <w:color w:val="000000"/>
                <w:sz w:val="20"/>
                <w:szCs w:val="20"/>
              </w:rPr>
              <w:t>Regulation of membrane potential</w:t>
            </w:r>
          </w:p>
        </w:tc>
        <w:tc>
          <w:tcPr>
            <w:tcW w:w="108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217</w:t>
            </w:r>
          </w:p>
        </w:tc>
        <w:tc>
          <w:tcPr>
            <w:tcW w:w="108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151</w:t>
            </w:r>
          </w:p>
        </w:tc>
        <w:tc>
          <w:tcPr>
            <w:tcW w:w="117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224</w:t>
            </w:r>
          </w:p>
        </w:tc>
        <w:tc>
          <w:tcPr>
            <w:tcW w:w="144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340</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6.5</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6.3</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7.3</w:t>
            </w:r>
          </w:p>
        </w:tc>
      </w:tr>
      <w:tr w:rsidR="008B50C1" w:rsidRPr="00DF487C" w:rsidTr="008B50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GO:1901137</w:t>
            </w:r>
          </w:p>
        </w:tc>
        <w:tc>
          <w:tcPr>
            <w:tcW w:w="5310" w:type="dxa"/>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20"/>
                <w:szCs w:val="20"/>
              </w:rPr>
            </w:pPr>
            <w:r w:rsidRPr="00DF487C">
              <w:rPr>
                <w:rFonts w:ascii="Arial" w:hAnsi="Arial" w:cs="Arial"/>
                <w:b/>
                <w:color w:val="000000"/>
                <w:sz w:val="20"/>
                <w:szCs w:val="20"/>
              </w:rPr>
              <w:t>Carbohydrate derivative biosynthetic process</w:t>
            </w:r>
          </w:p>
        </w:tc>
        <w:tc>
          <w:tcPr>
            <w:tcW w:w="108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261</w:t>
            </w:r>
          </w:p>
        </w:tc>
        <w:tc>
          <w:tcPr>
            <w:tcW w:w="108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175</w:t>
            </w:r>
          </w:p>
        </w:tc>
        <w:tc>
          <w:tcPr>
            <w:tcW w:w="117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242</w:t>
            </w:r>
          </w:p>
        </w:tc>
        <w:tc>
          <w:tcPr>
            <w:tcW w:w="144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448</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7.8</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7.2</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7.9</w:t>
            </w:r>
          </w:p>
        </w:tc>
      </w:tr>
      <w:tr w:rsidR="008B50C1" w:rsidRPr="00DF487C" w:rsidTr="008B50C1">
        <w:tc>
          <w:tcPr>
            <w:cnfStyle w:val="001000000000" w:firstRow="0" w:lastRow="0" w:firstColumn="1" w:lastColumn="0" w:oddVBand="0" w:evenVBand="0" w:oddHBand="0" w:evenHBand="0" w:firstRowFirstColumn="0" w:firstRowLastColumn="0" w:lastRowFirstColumn="0" w:lastRowLastColumn="0"/>
            <w:tcW w:w="1440" w:type="dxa"/>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GO:0043005</w:t>
            </w:r>
          </w:p>
        </w:tc>
        <w:tc>
          <w:tcPr>
            <w:tcW w:w="5310" w:type="dxa"/>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0"/>
              </w:rPr>
            </w:pPr>
            <w:r w:rsidRPr="00DF487C">
              <w:rPr>
                <w:rFonts w:ascii="Arial" w:hAnsi="Arial" w:cs="Arial"/>
                <w:b/>
                <w:color w:val="000000"/>
                <w:sz w:val="20"/>
                <w:szCs w:val="20"/>
              </w:rPr>
              <w:t>Neuron projection</w:t>
            </w:r>
          </w:p>
        </w:tc>
        <w:tc>
          <w:tcPr>
            <w:tcW w:w="108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542</w:t>
            </w:r>
          </w:p>
        </w:tc>
        <w:tc>
          <w:tcPr>
            <w:tcW w:w="108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411</w:t>
            </w:r>
          </w:p>
        </w:tc>
        <w:tc>
          <w:tcPr>
            <w:tcW w:w="117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533</w:t>
            </w:r>
          </w:p>
        </w:tc>
        <w:tc>
          <w:tcPr>
            <w:tcW w:w="144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805</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16.2</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17.0</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17.4</w:t>
            </w:r>
          </w:p>
        </w:tc>
      </w:tr>
      <w:tr w:rsidR="008B50C1" w:rsidRPr="00DF487C" w:rsidTr="008B50C1">
        <w:trPr>
          <w:cnfStyle w:val="000000100000" w:firstRow="0" w:lastRow="0" w:firstColumn="0" w:lastColumn="0" w:oddVBand="0" w:evenVBand="0" w:oddHBand="1" w:evenHBand="0" w:firstRowFirstColumn="0" w:firstRowLastColumn="0" w:lastRowFirstColumn="0" w:lastRowLastColumn="0"/>
          <w:trHeight w:val="242"/>
        </w:trPr>
        <w:tc>
          <w:tcPr>
            <w:cnfStyle w:val="001000000000" w:firstRow="0" w:lastRow="0" w:firstColumn="1" w:lastColumn="0" w:oddVBand="0" w:evenVBand="0" w:oddHBand="0" w:evenHBand="0" w:firstRowFirstColumn="0" w:firstRowLastColumn="0" w:lastRowFirstColumn="0" w:lastRowLastColumn="0"/>
            <w:tcW w:w="1440" w:type="dxa"/>
            <w:vAlign w:val="bottom"/>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GO:0098590</w:t>
            </w:r>
          </w:p>
        </w:tc>
        <w:tc>
          <w:tcPr>
            <w:tcW w:w="531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20"/>
                <w:szCs w:val="20"/>
              </w:rPr>
            </w:pPr>
            <w:r w:rsidRPr="00DF487C">
              <w:rPr>
                <w:rFonts w:ascii="Arial" w:hAnsi="Arial" w:cs="Arial"/>
                <w:b/>
                <w:bCs/>
                <w:color w:val="000000"/>
                <w:sz w:val="20"/>
                <w:szCs w:val="20"/>
              </w:rPr>
              <w:t>Plasma membrane region</w:t>
            </w:r>
          </w:p>
        </w:tc>
        <w:tc>
          <w:tcPr>
            <w:tcW w:w="108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519</w:t>
            </w:r>
          </w:p>
        </w:tc>
        <w:tc>
          <w:tcPr>
            <w:tcW w:w="108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337</w:t>
            </w:r>
          </w:p>
        </w:tc>
        <w:tc>
          <w:tcPr>
            <w:tcW w:w="117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454</w:t>
            </w:r>
          </w:p>
        </w:tc>
        <w:tc>
          <w:tcPr>
            <w:tcW w:w="144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788</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15.5</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13.9</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14.8</w:t>
            </w:r>
          </w:p>
        </w:tc>
      </w:tr>
      <w:tr w:rsidR="008B50C1" w:rsidRPr="00DF487C" w:rsidTr="008B50C1">
        <w:tc>
          <w:tcPr>
            <w:cnfStyle w:val="001000000000" w:firstRow="0" w:lastRow="0" w:firstColumn="1" w:lastColumn="0" w:oddVBand="0" w:evenVBand="0" w:oddHBand="0" w:evenHBand="0" w:firstRowFirstColumn="0" w:firstRowLastColumn="0" w:lastRowFirstColumn="0" w:lastRowLastColumn="0"/>
            <w:tcW w:w="1440" w:type="dxa"/>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GO:0044456</w:t>
            </w:r>
          </w:p>
        </w:tc>
        <w:tc>
          <w:tcPr>
            <w:tcW w:w="5310" w:type="dxa"/>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0"/>
              </w:rPr>
            </w:pPr>
            <w:r w:rsidRPr="00DF487C">
              <w:rPr>
                <w:rFonts w:ascii="Arial" w:hAnsi="Arial" w:cs="Arial"/>
                <w:b/>
                <w:color w:val="000000"/>
                <w:sz w:val="20"/>
                <w:szCs w:val="20"/>
              </w:rPr>
              <w:t>Synapse part</w:t>
            </w:r>
          </w:p>
        </w:tc>
        <w:tc>
          <w:tcPr>
            <w:tcW w:w="108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373</w:t>
            </w:r>
          </w:p>
        </w:tc>
        <w:tc>
          <w:tcPr>
            <w:tcW w:w="108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293</w:t>
            </w:r>
          </w:p>
        </w:tc>
        <w:tc>
          <w:tcPr>
            <w:tcW w:w="117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423</w:t>
            </w:r>
          </w:p>
        </w:tc>
        <w:tc>
          <w:tcPr>
            <w:tcW w:w="144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604</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11.1</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12.1</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13.8</w:t>
            </w:r>
          </w:p>
        </w:tc>
      </w:tr>
      <w:tr w:rsidR="008B50C1" w:rsidRPr="00DF487C" w:rsidTr="008B50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vAlign w:val="bottom"/>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GO:0009986</w:t>
            </w:r>
          </w:p>
        </w:tc>
        <w:tc>
          <w:tcPr>
            <w:tcW w:w="531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20"/>
                <w:szCs w:val="20"/>
              </w:rPr>
            </w:pPr>
            <w:r w:rsidRPr="00DF487C">
              <w:rPr>
                <w:rFonts w:ascii="Arial" w:hAnsi="Arial" w:cs="Arial"/>
                <w:b/>
                <w:bCs/>
                <w:color w:val="000000"/>
                <w:sz w:val="20"/>
                <w:szCs w:val="20"/>
              </w:rPr>
              <w:t>Cell surface</w:t>
            </w:r>
          </w:p>
        </w:tc>
        <w:tc>
          <w:tcPr>
            <w:tcW w:w="108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370</w:t>
            </w:r>
          </w:p>
        </w:tc>
        <w:tc>
          <w:tcPr>
            <w:tcW w:w="108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239</w:t>
            </w:r>
          </w:p>
        </w:tc>
        <w:tc>
          <w:tcPr>
            <w:tcW w:w="117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312</w:t>
            </w:r>
          </w:p>
        </w:tc>
        <w:tc>
          <w:tcPr>
            <w:tcW w:w="144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560</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11.0</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9.9</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10.2</w:t>
            </w:r>
          </w:p>
        </w:tc>
      </w:tr>
      <w:tr w:rsidR="008B50C1" w:rsidRPr="00DF487C" w:rsidTr="008B50C1">
        <w:tc>
          <w:tcPr>
            <w:cnfStyle w:val="001000000000" w:firstRow="0" w:lastRow="0" w:firstColumn="1" w:lastColumn="0" w:oddVBand="0" w:evenVBand="0" w:oddHBand="0" w:evenHBand="0" w:firstRowFirstColumn="0" w:firstRowLastColumn="0" w:lastRowFirstColumn="0" w:lastRowLastColumn="0"/>
            <w:tcW w:w="1440" w:type="dxa"/>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GO:0098794</w:t>
            </w:r>
          </w:p>
        </w:tc>
        <w:tc>
          <w:tcPr>
            <w:tcW w:w="5310" w:type="dxa"/>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0"/>
              </w:rPr>
            </w:pPr>
            <w:proofErr w:type="spellStart"/>
            <w:r w:rsidRPr="00DF487C">
              <w:rPr>
                <w:rFonts w:ascii="Arial" w:hAnsi="Arial" w:cs="Arial"/>
                <w:b/>
                <w:color w:val="000000"/>
                <w:sz w:val="20"/>
                <w:szCs w:val="20"/>
              </w:rPr>
              <w:t>Postsynapse</w:t>
            </w:r>
            <w:proofErr w:type="spellEnd"/>
          </w:p>
        </w:tc>
        <w:tc>
          <w:tcPr>
            <w:tcW w:w="108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276</w:t>
            </w:r>
          </w:p>
        </w:tc>
        <w:tc>
          <w:tcPr>
            <w:tcW w:w="108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229</w:t>
            </w:r>
          </w:p>
        </w:tc>
        <w:tc>
          <w:tcPr>
            <w:tcW w:w="117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321</w:t>
            </w:r>
          </w:p>
        </w:tc>
        <w:tc>
          <w:tcPr>
            <w:tcW w:w="144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406</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8.2</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9.5</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10.5</w:t>
            </w:r>
          </w:p>
        </w:tc>
      </w:tr>
      <w:tr w:rsidR="008B50C1" w:rsidRPr="00DF487C" w:rsidTr="008B50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vAlign w:val="bottom"/>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GO:0044297</w:t>
            </w:r>
          </w:p>
        </w:tc>
        <w:tc>
          <w:tcPr>
            <w:tcW w:w="531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20"/>
                <w:szCs w:val="20"/>
              </w:rPr>
            </w:pPr>
            <w:r w:rsidRPr="00DF487C">
              <w:rPr>
                <w:rFonts w:ascii="Arial" w:hAnsi="Arial" w:cs="Arial"/>
                <w:b/>
                <w:bCs/>
                <w:color w:val="000000"/>
                <w:sz w:val="20"/>
                <w:szCs w:val="20"/>
              </w:rPr>
              <w:t>Cell body</w:t>
            </w:r>
          </w:p>
        </w:tc>
        <w:tc>
          <w:tcPr>
            <w:tcW w:w="108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275</w:t>
            </w:r>
          </w:p>
        </w:tc>
        <w:tc>
          <w:tcPr>
            <w:tcW w:w="108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204</w:t>
            </w:r>
          </w:p>
        </w:tc>
        <w:tc>
          <w:tcPr>
            <w:tcW w:w="117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258</w:t>
            </w:r>
          </w:p>
        </w:tc>
        <w:tc>
          <w:tcPr>
            <w:tcW w:w="144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409</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8.2</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8.4</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8.4</w:t>
            </w:r>
          </w:p>
        </w:tc>
      </w:tr>
      <w:tr w:rsidR="008B50C1" w:rsidRPr="00DF487C" w:rsidTr="008B50C1">
        <w:tc>
          <w:tcPr>
            <w:cnfStyle w:val="001000000000" w:firstRow="0" w:lastRow="0" w:firstColumn="1" w:lastColumn="0" w:oddVBand="0" w:evenVBand="0" w:oddHBand="0" w:evenHBand="0" w:firstRowFirstColumn="0" w:firstRowLastColumn="0" w:lastRowFirstColumn="0" w:lastRowLastColumn="0"/>
            <w:tcW w:w="1440" w:type="dxa"/>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GO:0097060</w:t>
            </w:r>
          </w:p>
        </w:tc>
        <w:tc>
          <w:tcPr>
            <w:tcW w:w="5310" w:type="dxa"/>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0"/>
              </w:rPr>
            </w:pPr>
            <w:r w:rsidRPr="00DF487C">
              <w:rPr>
                <w:rFonts w:ascii="Arial" w:hAnsi="Arial" w:cs="Arial"/>
                <w:b/>
                <w:color w:val="000000"/>
                <w:sz w:val="20"/>
                <w:szCs w:val="20"/>
              </w:rPr>
              <w:t>Synaptic membrane</w:t>
            </w:r>
          </w:p>
        </w:tc>
        <w:tc>
          <w:tcPr>
            <w:tcW w:w="108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232</w:t>
            </w:r>
          </w:p>
        </w:tc>
        <w:tc>
          <w:tcPr>
            <w:tcW w:w="108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182</w:t>
            </w:r>
          </w:p>
        </w:tc>
        <w:tc>
          <w:tcPr>
            <w:tcW w:w="117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265</w:t>
            </w:r>
          </w:p>
        </w:tc>
        <w:tc>
          <w:tcPr>
            <w:tcW w:w="144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305</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6.9</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7.5</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8.6</w:t>
            </w:r>
          </w:p>
        </w:tc>
      </w:tr>
      <w:tr w:rsidR="008B50C1" w:rsidRPr="00DF487C" w:rsidTr="008B50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GO:0045211</w:t>
            </w:r>
          </w:p>
        </w:tc>
        <w:tc>
          <w:tcPr>
            <w:tcW w:w="5310" w:type="dxa"/>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20"/>
                <w:szCs w:val="20"/>
              </w:rPr>
            </w:pPr>
            <w:r w:rsidRPr="00DF487C">
              <w:rPr>
                <w:rFonts w:ascii="Arial" w:hAnsi="Arial" w:cs="Arial"/>
                <w:b/>
                <w:color w:val="000000"/>
                <w:sz w:val="20"/>
                <w:szCs w:val="20"/>
              </w:rPr>
              <w:t>Postsynaptic membrane</w:t>
            </w:r>
          </w:p>
        </w:tc>
        <w:tc>
          <w:tcPr>
            <w:tcW w:w="108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195</w:t>
            </w:r>
          </w:p>
        </w:tc>
        <w:tc>
          <w:tcPr>
            <w:tcW w:w="108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156</w:t>
            </w:r>
          </w:p>
        </w:tc>
        <w:tc>
          <w:tcPr>
            <w:tcW w:w="117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226</w:t>
            </w:r>
          </w:p>
        </w:tc>
        <w:tc>
          <w:tcPr>
            <w:tcW w:w="144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240</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5.8</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6.5</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7.4</w:t>
            </w:r>
          </w:p>
        </w:tc>
      </w:tr>
      <w:tr w:rsidR="008B50C1" w:rsidRPr="00DF487C" w:rsidTr="008B50C1">
        <w:tc>
          <w:tcPr>
            <w:cnfStyle w:val="001000000000" w:firstRow="0" w:lastRow="0" w:firstColumn="1" w:lastColumn="0" w:oddVBand="0" w:evenVBand="0" w:oddHBand="0" w:evenHBand="0" w:firstRowFirstColumn="0" w:firstRowLastColumn="0" w:lastRowFirstColumn="0" w:lastRowLastColumn="0"/>
            <w:tcW w:w="1440" w:type="dxa"/>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GO:0036477</w:t>
            </w:r>
          </w:p>
        </w:tc>
        <w:tc>
          <w:tcPr>
            <w:tcW w:w="5310" w:type="dxa"/>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0"/>
              </w:rPr>
            </w:pPr>
            <w:proofErr w:type="spellStart"/>
            <w:r w:rsidRPr="00DF487C">
              <w:rPr>
                <w:rFonts w:ascii="Arial" w:hAnsi="Arial" w:cs="Arial"/>
                <w:b/>
                <w:color w:val="000000"/>
                <w:sz w:val="20"/>
                <w:szCs w:val="20"/>
              </w:rPr>
              <w:t>Somatodendritic</w:t>
            </w:r>
            <w:proofErr w:type="spellEnd"/>
            <w:r w:rsidRPr="00DF487C">
              <w:rPr>
                <w:rFonts w:ascii="Arial" w:hAnsi="Arial" w:cs="Arial"/>
                <w:b/>
                <w:color w:val="000000"/>
                <w:sz w:val="20"/>
                <w:szCs w:val="20"/>
              </w:rPr>
              <w:t xml:space="preserve"> compartment</w:t>
            </w:r>
          </w:p>
        </w:tc>
        <w:tc>
          <w:tcPr>
            <w:tcW w:w="108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346</w:t>
            </w:r>
          </w:p>
        </w:tc>
        <w:tc>
          <w:tcPr>
            <w:tcW w:w="108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281</w:t>
            </w:r>
          </w:p>
        </w:tc>
        <w:tc>
          <w:tcPr>
            <w:tcW w:w="117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368</w:t>
            </w:r>
          </w:p>
        </w:tc>
        <w:tc>
          <w:tcPr>
            <w:tcW w:w="144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582</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10.3</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11.6</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12.0</w:t>
            </w:r>
          </w:p>
        </w:tc>
      </w:tr>
      <w:tr w:rsidR="008B50C1" w:rsidRPr="00DF487C" w:rsidTr="008B50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GO:0043025</w:t>
            </w:r>
          </w:p>
        </w:tc>
        <w:tc>
          <w:tcPr>
            <w:tcW w:w="5310" w:type="dxa"/>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20"/>
                <w:szCs w:val="20"/>
              </w:rPr>
            </w:pPr>
            <w:r w:rsidRPr="00DF487C">
              <w:rPr>
                <w:rFonts w:ascii="Arial" w:hAnsi="Arial" w:cs="Arial"/>
                <w:b/>
                <w:color w:val="000000"/>
                <w:sz w:val="20"/>
                <w:szCs w:val="20"/>
              </w:rPr>
              <w:t>Neuronal cell body</w:t>
            </w:r>
          </w:p>
        </w:tc>
        <w:tc>
          <w:tcPr>
            <w:tcW w:w="108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225</w:t>
            </w:r>
          </w:p>
        </w:tc>
        <w:tc>
          <w:tcPr>
            <w:tcW w:w="108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188</w:t>
            </w:r>
          </w:p>
        </w:tc>
        <w:tc>
          <w:tcPr>
            <w:tcW w:w="117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232</w:t>
            </w:r>
          </w:p>
        </w:tc>
        <w:tc>
          <w:tcPr>
            <w:tcW w:w="144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359</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6.7</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7.8</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7.6</w:t>
            </w:r>
          </w:p>
        </w:tc>
      </w:tr>
      <w:tr w:rsidR="008B50C1" w:rsidRPr="00DF487C" w:rsidTr="008B50C1">
        <w:tc>
          <w:tcPr>
            <w:cnfStyle w:val="001000000000" w:firstRow="0" w:lastRow="0" w:firstColumn="1" w:lastColumn="0" w:oddVBand="0" w:evenVBand="0" w:oddHBand="0" w:evenHBand="0" w:firstRowFirstColumn="0" w:firstRowLastColumn="0" w:lastRowFirstColumn="0" w:lastRowLastColumn="0"/>
            <w:tcW w:w="1440" w:type="dxa"/>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GO:0030424</w:t>
            </w:r>
          </w:p>
        </w:tc>
        <w:tc>
          <w:tcPr>
            <w:tcW w:w="5310" w:type="dxa"/>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0"/>
              </w:rPr>
            </w:pPr>
            <w:r w:rsidRPr="00DF487C">
              <w:rPr>
                <w:rFonts w:ascii="Arial" w:hAnsi="Arial" w:cs="Arial"/>
                <w:b/>
                <w:color w:val="000000"/>
                <w:sz w:val="20"/>
                <w:szCs w:val="20"/>
              </w:rPr>
              <w:t>Axon</w:t>
            </w:r>
          </w:p>
        </w:tc>
        <w:tc>
          <w:tcPr>
            <w:tcW w:w="108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246</w:t>
            </w:r>
          </w:p>
        </w:tc>
        <w:tc>
          <w:tcPr>
            <w:tcW w:w="108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174</w:t>
            </w:r>
          </w:p>
        </w:tc>
        <w:tc>
          <w:tcPr>
            <w:tcW w:w="117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231</w:t>
            </w:r>
          </w:p>
        </w:tc>
        <w:tc>
          <w:tcPr>
            <w:tcW w:w="144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335</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7.3</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7.2</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7.5</w:t>
            </w:r>
          </w:p>
        </w:tc>
      </w:tr>
      <w:tr w:rsidR="008B50C1" w:rsidRPr="00DF487C" w:rsidTr="008B50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GO:0031012</w:t>
            </w:r>
          </w:p>
        </w:tc>
        <w:tc>
          <w:tcPr>
            <w:tcW w:w="5310" w:type="dxa"/>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20"/>
                <w:szCs w:val="20"/>
              </w:rPr>
            </w:pPr>
            <w:r w:rsidRPr="00DF487C">
              <w:rPr>
                <w:rFonts w:ascii="Arial" w:hAnsi="Arial" w:cs="Arial"/>
                <w:b/>
                <w:color w:val="000000"/>
                <w:sz w:val="20"/>
                <w:szCs w:val="20"/>
              </w:rPr>
              <w:t>Extracellular matrix</w:t>
            </w:r>
          </w:p>
        </w:tc>
        <w:tc>
          <w:tcPr>
            <w:tcW w:w="108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244</w:t>
            </w:r>
          </w:p>
        </w:tc>
        <w:tc>
          <w:tcPr>
            <w:tcW w:w="108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199</w:t>
            </w:r>
          </w:p>
        </w:tc>
        <w:tc>
          <w:tcPr>
            <w:tcW w:w="117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231</w:t>
            </w:r>
          </w:p>
        </w:tc>
        <w:tc>
          <w:tcPr>
            <w:tcW w:w="144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395</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7.3</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8.2</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7.5</w:t>
            </w:r>
          </w:p>
        </w:tc>
      </w:tr>
      <w:tr w:rsidR="008B50C1" w:rsidRPr="00DF487C" w:rsidTr="008B50C1">
        <w:tc>
          <w:tcPr>
            <w:cnfStyle w:val="001000000000" w:firstRow="0" w:lastRow="0" w:firstColumn="1" w:lastColumn="0" w:oddVBand="0" w:evenVBand="0" w:oddHBand="0" w:evenHBand="0" w:firstRowFirstColumn="0" w:firstRowLastColumn="0" w:lastRowFirstColumn="0" w:lastRowLastColumn="0"/>
            <w:tcW w:w="1440" w:type="dxa"/>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GO:0005578</w:t>
            </w:r>
          </w:p>
        </w:tc>
        <w:tc>
          <w:tcPr>
            <w:tcW w:w="5310" w:type="dxa"/>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0"/>
              </w:rPr>
            </w:pPr>
            <w:r w:rsidRPr="00DF487C">
              <w:rPr>
                <w:rFonts w:ascii="Arial" w:hAnsi="Arial" w:cs="Arial"/>
                <w:b/>
                <w:color w:val="000000"/>
                <w:sz w:val="20"/>
                <w:szCs w:val="20"/>
              </w:rPr>
              <w:t>Proteinaceous extracellular matrix</w:t>
            </w:r>
          </w:p>
        </w:tc>
        <w:tc>
          <w:tcPr>
            <w:tcW w:w="108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191</w:t>
            </w:r>
          </w:p>
        </w:tc>
        <w:tc>
          <w:tcPr>
            <w:tcW w:w="108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176</w:t>
            </w:r>
          </w:p>
        </w:tc>
        <w:tc>
          <w:tcPr>
            <w:tcW w:w="117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187</w:t>
            </w:r>
          </w:p>
        </w:tc>
        <w:tc>
          <w:tcPr>
            <w:tcW w:w="144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311</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5.7</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7.3</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6.1</w:t>
            </w:r>
          </w:p>
        </w:tc>
      </w:tr>
      <w:tr w:rsidR="008B50C1" w:rsidRPr="00DF487C" w:rsidTr="008B50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GO:0005509</w:t>
            </w:r>
          </w:p>
        </w:tc>
        <w:tc>
          <w:tcPr>
            <w:tcW w:w="5310" w:type="dxa"/>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20"/>
                <w:szCs w:val="20"/>
              </w:rPr>
            </w:pPr>
            <w:r w:rsidRPr="00DF487C">
              <w:rPr>
                <w:rFonts w:ascii="Arial" w:hAnsi="Arial" w:cs="Arial"/>
                <w:b/>
                <w:color w:val="000000"/>
                <w:sz w:val="20"/>
                <w:szCs w:val="20"/>
              </w:rPr>
              <w:t>Calcium ion binding</w:t>
            </w:r>
          </w:p>
        </w:tc>
        <w:tc>
          <w:tcPr>
            <w:tcW w:w="108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354</w:t>
            </w:r>
          </w:p>
        </w:tc>
        <w:tc>
          <w:tcPr>
            <w:tcW w:w="108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228</w:t>
            </w:r>
          </w:p>
        </w:tc>
        <w:tc>
          <w:tcPr>
            <w:tcW w:w="117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397</w:t>
            </w:r>
          </w:p>
        </w:tc>
        <w:tc>
          <w:tcPr>
            <w:tcW w:w="144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462</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10.6</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9.4</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12.9</w:t>
            </w:r>
          </w:p>
        </w:tc>
      </w:tr>
      <w:tr w:rsidR="008B50C1" w:rsidRPr="00DF487C" w:rsidTr="008B50C1">
        <w:tc>
          <w:tcPr>
            <w:cnfStyle w:val="001000000000" w:firstRow="0" w:lastRow="0" w:firstColumn="1" w:lastColumn="0" w:oddVBand="0" w:evenVBand="0" w:oddHBand="0" w:evenHBand="0" w:firstRowFirstColumn="0" w:firstRowLastColumn="0" w:lastRowFirstColumn="0" w:lastRowLastColumn="0"/>
            <w:tcW w:w="1440" w:type="dxa"/>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GO:0008233</w:t>
            </w:r>
          </w:p>
        </w:tc>
        <w:tc>
          <w:tcPr>
            <w:tcW w:w="5310" w:type="dxa"/>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0"/>
              </w:rPr>
            </w:pPr>
            <w:r w:rsidRPr="00DF487C">
              <w:rPr>
                <w:rFonts w:ascii="Arial" w:hAnsi="Arial" w:cs="Arial"/>
                <w:b/>
                <w:color w:val="000000"/>
                <w:sz w:val="20"/>
                <w:szCs w:val="20"/>
              </w:rPr>
              <w:t>Peptidase activity</w:t>
            </w:r>
          </w:p>
        </w:tc>
        <w:tc>
          <w:tcPr>
            <w:tcW w:w="108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240</w:t>
            </w:r>
          </w:p>
        </w:tc>
        <w:tc>
          <w:tcPr>
            <w:tcW w:w="108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158</w:t>
            </w:r>
          </w:p>
        </w:tc>
        <w:tc>
          <w:tcPr>
            <w:tcW w:w="117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176</w:t>
            </w:r>
          </w:p>
        </w:tc>
        <w:tc>
          <w:tcPr>
            <w:tcW w:w="144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400</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7.2</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6.5</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5.7</w:t>
            </w:r>
          </w:p>
        </w:tc>
      </w:tr>
      <w:tr w:rsidR="008B50C1" w:rsidRPr="00DF487C" w:rsidTr="008B50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GO:0070011</w:t>
            </w:r>
          </w:p>
        </w:tc>
        <w:tc>
          <w:tcPr>
            <w:tcW w:w="5310" w:type="dxa"/>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20"/>
                <w:szCs w:val="20"/>
              </w:rPr>
            </w:pPr>
            <w:r w:rsidRPr="00DF487C">
              <w:rPr>
                <w:rFonts w:ascii="Arial" w:hAnsi="Arial" w:cs="Arial"/>
                <w:b/>
                <w:color w:val="000000"/>
                <w:sz w:val="20"/>
                <w:szCs w:val="20"/>
              </w:rPr>
              <w:t>Peptidase activity, acting on L-amino acid peptides</w:t>
            </w:r>
          </w:p>
        </w:tc>
        <w:tc>
          <w:tcPr>
            <w:tcW w:w="108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226</w:t>
            </w:r>
          </w:p>
        </w:tc>
        <w:tc>
          <w:tcPr>
            <w:tcW w:w="108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152</w:t>
            </w:r>
          </w:p>
        </w:tc>
        <w:tc>
          <w:tcPr>
            <w:tcW w:w="117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169</w:t>
            </w:r>
          </w:p>
        </w:tc>
        <w:tc>
          <w:tcPr>
            <w:tcW w:w="144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384</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6.7</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6.3</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5.5</w:t>
            </w:r>
          </w:p>
        </w:tc>
      </w:tr>
      <w:tr w:rsidR="008B50C1" w:rsidRPr="00DF487C" w:rsidTr="008B50C1">
        <w:tc>
          <w:tcPr>
            <w:cnfStyle w:val="001000000000" w:firstRow="0" w:lastRow="0" w:firstColumn="1" w:lastColumn="0" w:oddVBand="0" w:evenVBand="0" w:oddHBand="0" w:evenHBand="0" w:firstRowFirstColumn="0" w:firstRowLastColumn="0" w:lastRowFirstColumn="0" w:lastRowLastColumn="0"/>
            <w:tcW w:w="1440" w:type="dxa"/>
            <w:vAlign w:val="bottom"/>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NA</w:t>
            </w:r>
          </w:p>
          <w:p w:rsidR="008B50C1" w:rsidRPr="00DF487C" w:rsidRDefault="008B50C1" w:rsidP="008B50C1">
            <w:pPr>
              <w:rPr>
                <w:rFonts w:ascii="Arial" w:hAnsi="Arial" w:cs="Arial"/>
                <w:color w:val="000000"/>
                <w:sz w:val="20"/>
                <w:szCs w:val="20"/>
              </w:rPr>
            </w:pPr>
          </w:p>
        </w:tc>
        <w:tc>
          <w:tcPr>
            <w:tcW w:w="531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0"/>
              </w:rPr>
            </w:pPr>
            <w:r w:rsidRPr="00DF487C">
              <w:rPr>
                <w:rFonts w:ascii="Arial" w:hAnsi="Arial" w:cs="Arial"/>
                <w:b/>
                <w:color w:val="000000"/>
                <w:sz w:val="20"/>
                <w:szCs w:val="20"/>
              </w:rPr>
              <w:t xml:space="preserve">Cumulative, within </w:t>
            </w:r>
          </w:p>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0"/>
              </w:rPr>
            </w:pPr>
            <w:r w:rsidRPr="00DF487C">
              <w:rPr>
                <w:rFonts w:ascii="Arial" w:hAnsi="Arial" w:cs="Arial"/>
                <w:b/>
                <w:color w:val="000000"/>
                <w:sz w:val="20"/>
                <w:szCs w:val="20"/>
              </w:rPr>
              <w:t>26 genomic regulatory networks</w:t>
            </w:r>
          </w:p>
        </w:tc>
        <w:tc>
          <w:tcPr>
            <w:tcW w:w="108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1952</w:t>
            </w:r>
          </w:p>
        </w:tc>
        <w:tc>
          <w:tcPr>
            <w:tcW w:w="108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1393</w:t>
            </w:r>
          </w:p>
        </w:tc>
        <w:tc>
          <w:tcPr>
            <w:tcW w:w="117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1892</w:t>
            </w:r>
          </w:p>
        </w:tc>
        <w:tc>
          <w:tcPr>
            <w:tcW w:w="144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3054</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58.2</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57.7</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61.6</w:t>
            </w:r>
          </w:p>
        </w:tc>
      </w:tr>
      <w:tr w:rsidR="008B50C1" w:rsidRPr="00DF487C" w:rsidTr="008B50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vAlign w:val="bottom"/>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NA</w:t>
            </w:r>
          </w:p>
          <w:p w:rsidR="008B50C1" w:rsidRPr="00DF487C" w:rsidRDefault="008B50C1" w:rsidP="008B50C1">
            <w:pPr>
              <w:rPr>
                <w:rFonts w:ascii="Arial" w:hAnsi="Arial" w:cs="Arial"/>
                <w:color w:val="000000"/>
                <w:sz w:val="20"/>
                <w:szCs w:val="20"/>
              </w:rPr>
            </w:pPr>
          </w:p>
        </w:tc>
        <w:tc>
          <w:tcPr>
            <w:tcW w:w="531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20"/>
                <w:szCs w:val="20"/>
              </w:rPr>
            </w:pPr>
            <w:r w:rsidRPr="00DF487C">
              <w:rPr>
                <w:rFonts w:ascii="Arial" w:hAnsi="Arial" w:cs="Arial"/>
                <w:b/>
                <w:color w:val="000000"/>
                <w:sz w:val="20"/>
                <w:szCs w:val="20"/>
              </w:rPr>
              <w:t xml:space="preserve">Cumulative, excluding </w:t>
            </w:r>
          </w:p>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20"/>
                <w:szCs w:val="20"/>
              </w:rPr>
            </w:pPr>
            <w:r w:rsidRPr="00DF487C">
              <w:rPr>
                <w:rFonts w:ascii="Arial" w:hAnsi="Arial" w:cs="Arial"/>
                <w:b/>
                <w:color w:val="000000"/>
                <w:sz w:val="20"/>
                <w:szCs w:val="20"/>
              </w:rPr>
              <w:t>26 genomic regulatory networks</w:t>
            </w:r>
          </w:p>
        </w:tc>
        <w:tc>
          <w:tcPr>
            <w:tcW w:w="108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1402</w:t>
            </w:r>
          </w:p>
        </w:tc>
        <w:tc>
          <w:tcPr>
            <w:tcW w:w="108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1023</w:t>
            </w:r>
          </w:p>
        </w:tc>
        <w:tc>
          <w:tcPr>
            <w:tcW w:w="117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1177</w:t>
            </w:r>
          </w:p>
        </w:tc>
        <w:tc>
          <w:tcPr>
            <w:tcW w:w="144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2685</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41.8</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42.3</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38.4</w:t>
            </w:r>
          </w:p>
        </w:tc>
      </w:tr>
    </w:tbl>
    <w:p w:rsidR="00472C18" w:rsidRPr="00DF487C" w:rsidRDefault="008B50C1" w:rsidP="00DF487C">
      <w:pPr>
        <w:spacing w:line="240" w:lineRule="auto"/>
        <w:contextualSpacing/>
        <w:rPr>
          <w:rFonts w:ascii="Arial" w:hAnsi="Arial" w:cs="Arial"/>
          <w:sz w:val="20"/>
          <w:szCs w:val="20"/>
        </w:rPr>
      </w:pPr>
      <w:r w:rsidRPr="00DF487C">
        <w:rPr>
          <w:rFonts w:ascii="Arial" w:hAnsi="Arial" w:cs="Arial"/>
          <w:sz w:val="20"/>
          <w:szCs w:val="20"/>
        </w:rPr>
        <w:t xml:space="preserve">Legend: *For each GRN, reported numbers of LTRs and genes were determined at the statistical significance threshold of the Binominal FDR Q-Value  &lt; 0.001 applied to 6 independent gene ontology-specific enrichment analyses employing the GREAT algorithm (Supplementary Materials); **, A total of 26 gene ontology </w:t>
      </w:r>
      <w:r w:rsidRPr="00DF487C">
        <w:rPr>
          <w:rFonts w:ascii="Arial" w:hAnsi="Arial" w:cs="Arial"/>
          <w:sz w:val="20"/>
          <w:szCs w:val="20"/>
        </w:rPr>
        <w:lastRenderedPageBreak/>
        <w:t xml:space="preserve">enrichment analyses-defined GRNs associated with human embryo </w:t>
      </w:r>
      <w:r w:rsidR="002F5992">
        <w:rPr>
          <w:rFonts w:ascii="Arial" w:hAnsi="Arial" w:cs="Arial"/>
          <w:sz w:val="20"/>
          <w:szCs w:val="20"/>
        </w:rPr>
        <w:t>regulatory LTR</w:t>
      </w:r>
      <w:r w:rsidRPr="00DF487C">
        <w:rPr>
          <w:rFonts w:ascii="Arial" w:hAnsi="Arial" w:cs="Arial"/>
          <w:sz w:val="20"/>
          <w:szCs w:val="20"/>
        </w:rPr>
        <w:t xml:space="preserve">s were identified at the statistical significance threshold of the Binominal FDR Q-value &lt; 0.05 (Supplementary Table S1). GRNs contain from 529 to 1486 </w:t>
      </w:r>
      <w:r w:rsidR="002F5992">
        <w:rPr>
          <w:rFonts w:ascii="Arial" w:hAnsi="Arial" w:cs="Arial"/>
          <w:sz w:val="20"/>
          <w:szCs w:val="20"/>
        </w:rPr>
        <w:t>regulatory LTR</w:t>
      </w:r>
      <w:r w:rsidRPr="00DF487C">
        <w:rPr>
          <w:rFonts w:ascii="Arial" w:hAnsi="Arial" w:cs="Arial"/>
          <w:sz w:val="20"/>
          <w:szCs w:val="20"/>
        </w:rPr>
        <w:t xml:space="preserve"> elements and from 199 to 805 down-stream target genes.</w:t>
      </w:r>
    </w:p>
    <w:p w:rsidR="00DF487C" w:rsidRDefault="00DF487C" w:rsidP="008B50C1">
      <w:pPr>
        <w:rPr>
          <w:rFonts w:ascii="Arial" w:hAnsi="Arial" w:cs="Arial"/>
          <w:b/>
        </w:rPr>
      </w:pPr>
    </w:p>
    <w:p w:rsidR="00866FAE" w:rsidRDefault="00866FAE" w:rsidP="008B50C1">
      <w:pPr>
        <w:rPr>
          <w:rFonts w:ascii="Arial" w:hAnsi="Arial" w:cs="Arial"/>
          <w:b/>
          <w:sz w:val="20"/>
          <w:szCs w:val="20"/>
        </w:rPr>
      </w:pPr>
    </w:p>
    <w:p w:rsidR="00866FAE" w:rsidRDefault="00866FAE" w:rsidP="008B50C1">
      <w:pPr>
        <w:rPr>
          <w:rFonts w:ascii="Arial" w:hAnsi="Arial" w:cs="Arial"/>
          <w:b/>
          <w:sz w:val="20"/>
          <w:szCs w:val="20"/>
        </w:rPr>
      </w:pPr>
    </w:p>
    <w:p w:rsidR="00866FAE" w:rsidRDefault="00866FAE" w:rsidP="008B50C1">
      <w:pPr>
        <w:rPr>
          <w:rFonts w:ascii="Arial" w:hAnsi="Arial" w:cs="Arial"/>
          <w:b/>
          <w:sz w:val="20"/>
          <w:szCs w:val="20"/>
        </w:rPr>
      </w:pPr>
    </w:p>
    <w:p w:rsidR="00866FAE" w:rsidRDefault="00866FAE" w:rsidP="008B50C1">
      <w:pPr>
        <w:rPr>
          <w:rFonts w:ascii="Arial" w:hAnsi="Arial" w:cs="Arial"/>
          <w:b/>
          <w:sz w:val="20"/>
          <w:szCs w:val="20"/>
        </w:rPr>
      </w:pPr>
    </w:p>
    <w:p w:rsidR="00866FAE" w:rsidRDefault="00866FAE" w:rsidP="008B50C1">
      <w:pPr>
        <w:rPr>
          <w:rFonts w:ascii="Arial" w:hAnsi="Arial" w:cs="Arial"/>
          <w:b/>
          <w:sz w:val="20"/>
          <w:szCs w:val="20"/>
        </w:rPr>
      </w:pPr>
    </w:p>
    <w:p w:rsidR="00866FAE" w:rsidRDefault="00866FAE" w:rsidP="008B50C1">
      <w:pPr>
        <w:rPr>
          <w:rFonts w:ascii="Arial" w:hAnsi="Arial" w:cs="Arial"/>
          <w:b/>
          <w:sz w:val="20"/>
          <w:szCs w:val="20"/>
        </w:rPr>
      </w:pPr>
    </w:p>
    <w:p w:rsidR="00866FAE" w:rsidRDefault="00866FAE" w:rsidP="008B50C1">
      <w:pPr>
        <w:rPr>
          <w:rFonts w:ascii="Arial" w:hAnsi="Arial" w:cs="Arial"/>
          <w:b/>
          <w:sz w:val="20"/>
          <w:szCs w:val="20"/>
        </w:rPr>
      </w:pPr>
    </w:p>
    <w:p w:rsidR="00866FAE" w:rsidRDefault="00866FAE" w:rsidP="008B50C1">
      <w:pPr>
        <w:rPr>
          <w:rFonts w:ascii="Arial" w:hAnsi="Arial" w:cs="Arial"/>
          <w:b/>
          <w:sz w:val="20"/>
          <w:szCs w:val="20"/>
        </w:rPr>
      </w:pPr>
    </w:p>
    <w:p w:rsidR="00866FAE" w:rsidRDefault="00866FAE" w:rsidP="008B50C1">
      <w:pPr>
        <w:rPr>
          <w:rFonts w:ascii="Arial" w:hAnsi="Arial" w:cs="Arial"/>
          <w:b/>
          <w:sz w:val="20"/>
          <w:szCs w:val="20"/>
        </w:rPr>
      </w:pPr>
    </w:p>
    <w:p w:rsidR="00866FAE" w:rsidRDefault="00866FAE" w:rsidP="008B50C1">
      <w:pPr>
        <w:rPr>
          <w:rFonts w:ascii="Arial" w:hAnsi="Arial" w:cs="Arial"/>
          <w:b/>
          <w:sz w:val="20"/>
          <w:szCs w:val="20"/>
        </w:rPr>
      </w:pPr>
    </w:p>
    <w:p w:rsidR="00866FAE" w:rsidRDefault="00866FAE" w:rsidP="008B50C1">
      <w:pPr>
        <w:rPr>
          <w:rFonts w:ascii="Arial" w:hAnsi="Arial" w:cs="Arial"/>
          <w:b/>
          <w:sz w:val="20"/>
          <w:szCs w:val="20"/>
        </w:rPr>
      </w:pPr>
    </w:p>
    <w:p w:rsidR="00866FAE" w:rsidRDefault="00866FAE" w:rsidP="008B50C1">
      <w:pPr>
        <w:rPr>
          <w:rFonts w:ascii="Arial" w:hAnsi="Arial" w:cs="Arial"/>
          <w:b/>
          <w:sz w:val="20"/>
          <w:szCs w:val="20"/>
        </w:rPr>
      </w:pPr>
    </w:p>
    <w:p w:rsidR="00866FAE" w:rsidRDefault="00866FAE" w:rsidP="008B50C1">
      <w:pPr>
        <w:rPr>
          <w:rFonts w:ascii="Arial" w:hAnsi="Arial" w:cs="Arial"/>
          <w:b/>
          <w:sz w:val="20"/>
          <w:szCs w:val="20"/>
        </w:rPr>
      </w:pPr>
    </w:p>
    <w:p w:rsidR="00866FAE" w:rsidRDefault="00866FAE" w:rsidP="008B50C1">
      <w:pPr>
        <w:rPr>
          <w:rFonts w:ascii="Arial" w:hAnsi="Arial" w:cs="Arial"/>
          <w:b/>
          <w:sz w:val="20"/>
          <w:szCs w:val="20"/>
        </w:rPr>
      </w:pPr>
    </w:p>
    <w:p w:rsidR="00866FAE" w:rsidRDefault="00866FAE" w:rsidP="008B50C1">
      <w:pPr>
        <w:rPr>
          <w:rFonts w:ascii="Arial" w:hAnsi="Arial" w:cs="Arial"/>
          <w:b/>
          <w:sz w:val="20"/>
          <w:szCs w:val="20"/>
        </w:rPr>
      </w:pPr>
    </w:p>
    <w:p w:rsidR="00866FAE" w:rsidRDefault="00866FAE" w:rsidP="008B50C1">
      <w:pPr>
        <w:rPr>
          <w:rFonts w:ascii="Arial" w:hAnsi="Arial" w:cs="Arial"/>
          <w:b/>
          <w:sz w:val="20"/>
          <w:szCs w:val="20"/>
        </w:rPr>
      </w:pPr>
    </w:p>
    <w:p w:rsidR="00866FAE" w:rsidRDefault="00866FAE" w:rsidP="008B50C1">
      <w:pPr>
        <w:rPr>
          <w:rFonts w:ascii="Arial" w:hAnsi="Arial" w:cs="Arial"/>
          <w:b/>
          <w:sz w:val="20"/>
          <w:szCs w:val="20"/>
        </w:rPr>
      </w:pPr>
    </w:p>
    <w:p w:rsidR="00866FAE" w:rsidRDefault="00866FAE" w:rsidP="008B50C1">
      <w:pPr>
        <w:rPr>
          <w:rFonts w:ascii="Arial" w:hAnsi="Arial" w:cs="Arial"/>
          <w:b/>
          <w:sz w:val="20"/>
          <w:szCs w:val="20"/>
        </w:rPr>
      </w:pPr>
    </w:p>
    <w:p w:rsidR="00866FAE" w:rsidRDefault="00866FAE" w:rsidP="008B50C1">
      <w:pPr>
        <w:rPr>
          <w:rFonts w:ascii="Arial" w:hAnsi="Arial" w:cs="Arial"/>
          <w:b/>
          <w:sz w:val="20"/>
          <w:szCs w:val="20"/>
        </w:rPr>
      </w:pPr>
    </w:p>
    <w:p w:rsidR="00866FAE" w:rsidRDefault="00866FAE" w:rsidP="008B50C1">
      <w:pPr>
        <w:rPr>
          <w:rFonts w:ascii="Arial" w:hAnsi="Arial" w:cs="Arial"/>
          <w:b/>
          <w:sz w:val="20"/>
          <w:szCs w:val="20"/>
        </w:rPr>
      </w:pPr>
    </w:p>
    <w:p w:rsidR="00866FAE" w:rsidRDefault="00866FAE" w:rsidP="008B50C1">
      <w:pPr>
        <w:rPr>
          <w:rFonts w:ascii="Arial" w:hAnsi="Arial" w:cs="Arial"/>
          <w:b/>
          <w:sz w:val="20"/>
          <w:szCs w:val="20"/>
        </w:rPr>
      </w:pPr>
    </w:p>
    <w:p w:rsidR="00866FAE" w:rsidRDefault="00866FAE" w:rsidP="008B50C1">
      <w:pPr>
        <w:rPr>
          <w:rFonts w:ascii="Arial" w:hAnsi="Arial" w:cs="Arial"/>
          <w:b/>
          <w:sz w:val="20"/>
          <w:szCs w:val="20"/>
        </w:rPr>
      </w:pPr>
    </w:p>
    <w:p w:rsidR="008B50C1" w:rsidRPr="00DF487C" w:rsidRDefault="008B50C1" w:rsidP="008B50C1">
      <w:pPr>
        <w:rPr>
          <w:rFonts w:ascii="Arial" w:hAnsi="Arial" w:cs="Arial"/>
          <w:sz w:val="20"/>
          <w:szCs w:val="20"/>
        </w:rPr>
      </w:pPr>
      <w:r w:rsidRPr="00DF487C">
        <w:rPr>
          <w:rFonts w:ascii="Arial" w:hAnsi="Arial" w:cs="Arial"/>
          <w:b/>
          <w:sz w:val="20"/>
          <w:szCs w:val="20"/>
        </w:rPr>
        <w:lastRenderedPageBreak/>
        <w:t>Table 5.</w:t>
      </w:r>
      <w:r w:rsidRPr="00DF487C">
        <w:rPr>
          <w:rFonts w:ascii="Arial" w:hAnsi="Arial" w:cs="Arial"/>
          <w:sz w:val="20"/>
          <w:szCs w:val="20"/>
        </w:rPr>
        <w:t xml:space="preserve"> Quantitative profiles of a directed acyclic graph (DAG) * test-validated genomic regulatory modules (GRMs) ** within 26 gene ontology enrichment analysis-defined genomic regulatory networks (GRNs) *** of the genomic dominion of human embryo </w:t>
      </w:r>
      <w:r w:rsidR="002F5992">
        <w:rPr>
          <w:rFonts w:ascii="Arial" w:hAnsi="Arial" w:cs="Arial"/>
          <w:sz w:val="20"/>
          <w:szCs w:val="20"/>
        </w:rPr>
        <w:t>regulatory LTR</w:t>
      </w:r>
      <w:r w:rsidRPr="00DF487C">
        <w:rPr>
          <w:rFonts w:ascii="Arial" w:hAnsi="Arial" w:cs="Arial"/>
          <w:sz w:val="20"/>
          <w:szCs w:val="20"/>
        </w:rPr>
        <w:t>s.</w:t>
      </w:r>
    </w:p>
    <w:tbl>
      <w:tblPr>
        <w:tblStyle w:val="PlainTable2"/>
        <w:tblW w:w="14490" w:type="dxa"/>
        <w:tblLayout w:type="fixed"/>
        <w:tblLook w:val="04A0" w:firstRow="1" w:lastRow="0" w:firstColumn="1" w:lastColumn="0" w:noHBand="0" w:noVBand="1"/>
      </w:tblPr>
      <w:tblGrid>
        <w:gridCol w:w="1440"/>
        <w:gridCol w:w="2340"/>
        <w:gridCol w:w="990"/>
        <w:gridCol w:w="810"/>
        <w:gridCol w:w="1260"/>
        <w:gridCol w:w="1350"/>
        <w:gridCol w:w="1170"/>
        <w:gridCol w:w="1260"/>
        <w:gridCol w:w="1350"/>
        <w:gridCol w:w="1260"/>
        <w:gridCol w:w="1260"/>
      </w:tblGrid>
      <w:tr w:rsidR="008B50C1" w:rsidRPr="00DF487C" w:rsidTr="008B50C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Gene ontology ID</w:t>
            </w:r>
          </w:p>
        </w:tc>
        <w:tc>
          <w:tcPr>
            <w:tcW w:w="2340" w:type="dxa"/>
          </w:tcPr>
          <w:p w:rsidR="008B50C1" w:rsidRPr="00DF487C" w:rsidRDefault="008B50C1" w:rsidP="008B50C1">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Genomic regulatory networks</w:t>
            </w:r>
          </w:p>
        </w:tc>
        <w:tc>
          <w:tcPr>
            <w:tcW w:w="990" w:type="dxa"/>
          </w:tcPr>
          <w:p w:rsidR="008B50C1" w:rsidRPr="00DF487C" w:rsidRDefault="008B50C1" w:rsidP="008B50C1">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Number of LTRs</w:t>
            </w:r>
          </w:p>
        </w:tc>
        <w:tc>
          <w:tcPr>
            <w:tcW w:w="810" w:type="dxa"/>
          </w:tcPr>
          <w:p w:rsidR="008B50C1" w:rsidRPr="00DF487C" w:rsidRDefault="008B50C1" w:rsidP="008B50C1">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GRN  linked genes</w:t>
            </w:r>
          </w:p>
        </w:tc>
        <w:tc>
          <w:tcPr>
            <w:tcW w:w="1260" w:type="dxa"/>
          </w:tcPr>
          <w:p w:rsidR="008B50C1" w:rsidRPr="00DF487C" w:rsidRDefault="008B50C1" w:rsidP="008B50C1">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GO Biological Process</w:t>
            </w:r>
          </w:p>
        </w:tc>
        <w:tc>
          <w:tcPr>
            <w:tcW w:w="1350" w:type="dxa"/>
          </w:tcPr>
          <w:p w:rsidR="008B50C1" w:rsidRPr="00DF487C" w:rsidRDefault="008B50C1" w:rsidP="008B50C1">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GO Cellular Component</w:t>
            </w:r>
          </w:p>
        </w:tc>
        <w:tc>
          <w:tcPr>
            <w:tcW w:w="1170" w:type="dxa"/>
          </w:tcPr>
          <w:p w:rsidR="008B50C1" w:rsidRPr="00DF487C" w:rsidRDefault="008B50C1" w:rsidP="008B50C1">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GO Molecular Function</w:t>
            </w:r>
          </w:p>
        </w:tc>
        <w:tc>
          <w:tcPr>
            <w:tcW w:w="1260" w:type="dxa"/>
          </w:tcPr>
          <w:p w:rsidR="008B50C1" w:rsidRPr="00DF487C" w:rsidRDefault="008B50C1" w:rsidP="008B50C1">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Human Phenotype</w:t>
            </w:r>
          </w:p>
        </w:tc>
        <w:tc>
          <w:tcPr>
            <w:tcW w:w="1350" w:type="dxa"/>
          </w:tcPr>
          <w:p w:rsidR="008B50C1" w:rsidRPr="00DF487C" w:rsidRDefault="008B50C1" w:rsidP="008B50C1">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Mouse Phenotype Single KO</w:t>
            </w:r>
          </w:p>
        </w:tc>
        <w:tc>
          <w:tcPr>
            <w:tcW w:w="1260" w:type="dxa"/>
          </w:tcPr>
          <w:p w:rsidR="008B50C1" w:rsidRPr="00DF487C" w:rsidRDefault="008B50C1" w:rsidP="008B50C1">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Mouse Phenotype</w:t>
            </w:r>
          </w:p>
        </w:tc>
        <w:tc>
          <w:tcPr>
            <w:tcW w:w="1260" w:type="dxa"/>
          </w:tcPr>
          <w:p w:rsidR="008B50C1" w:rsidRPr="00DF487C" w:rsidRDefault="008B50C1" w:rsidP="008B50C1">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Number of GRNs &amp; GRMs</w:t>
            </w:r>
          </w:p>
        </w:tc>
      </w:tr>
      <w:tr w:rsidR="008B50C1" w:rsidRPr="00DF487C" w:rsidTr="008B50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rsidR="008B50C1" w:rsidRPr="00DF487C" w:rsidRDefault="008B50C1" w:rsidP="008B50C1">
            <w:pPr>
              <w:jc w:val="center"/>
              <w:rPr>
                <w:rFonts w:ascii="Arial" w:hAnsi="Arial" w:cs="Arial"/>
                <w:color w:val="000000"/>
                <w:sz w:val="20"/>
                <w:szCs w:val="20"/>
              </w:rPr>
            </w:pPr>
          </w:p>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NA</w:t>
            </w:r>
          </w:p>
        </w:tc>
        <w:tc>
          <w:tcPr>
            <w:tcW w:w="2340" w:type="dxa"/>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20"/>
                <w:szCs w:val="20"/>
              </w:rPr>
            </w:pPr>
            <w:r w:rsidRPr="00DF487C">
              <w:rPr>
                <w:rFonts w:ascii="Arial" w:hAnsi="Arial" w:cs="Arial"/>
                <w:b/>
                <w:color w:val="000000"/>
                <w:sz w:val="20"/>
                <w:szCs w:val="20"/>
              </w:rPr>
              <w:t xml:space="preserve">Genomic dominion of human embryo </w:t>
            </w:r>
            <w:r w:rsidR="002F5992">
              <w:rPr>
                <w:rFonts w:ascii="Arial" w:hAnsi="Arial" w:cs="Arial"/>
                <w:b/>
                <w:color w:val="000000"/>
                <w:sz w:val="20"/>
                <w:szCs w:val="20"/>
              </w:rPr>
              <w:t>regulatory LTR</w:t>
            </w:r>
            <w:r w:rsidRPr="00DF487C">
              <w:rPr>
                <w:rFonts w:ascii="Arial" w:hAnsi="Arial" w:cs="Arial"/>
                <w:b/>
                <w:color w:val="000000"/>
                <w:sz w:val="20"/>
                <w:szCs w:val="20"/>
              </w:rPr>
              <w:t>s</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8839</w:t>
            </w:r>
          </w:p>
        </w:tc>
        <w:tc>
          <w:tcPr>
            <w:tcW w:w="81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NA</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w:t>
            </w:r>
          </w:p>
        </w:tc>
        <w:tc>
          <w:tcPr>
            <w:tcW w:w="135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0</w:t>
            </w:r>
          </w:p>
        </w:tc>
        <w:tc>
          <w:tcPr>
            <w:tcW w:w="117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0</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w:t>
            </w:r>
          </w:p>
        </w:tc>
        <w:tc>
          <w:tcPr>
            <w:tcW w:w="135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0</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0</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w:t>
            </w:r>
          </w:p>
        </w:tc>
      </w:tr>
      <w:tr w:rsidR="008B50C1" w:rsidRPr="00DF487C" w:rsidTr="008B50C1">
        <w:tc>
          <w:tcPr>
            <w:cnfStyle w:val="001000000000" w:firstRow="0" w:lastRow="0" w:firstColumn="1" w:lastColumn="0" w:oddVBand="0" w:evenVBand="0" w:oddHBand="0" w:evenHBand="0" w:firstRowFirstColumn="0" w:firstRowLastColumn="0" w:lastRowFirstColumn="0" w:lastRowLastColumn="0"/>
            <w:tcW w:w="1440" w:type="dxa"/>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GO:0051960</w:t>
            </w:r>
          </w:p>
        </w:tc>
        <w:tc>
          <w:tcPr>
            <w:tcW w:w="2340" w:type="dxa"/>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0"/>
              </w:rPr>
            </w:pPr>
            <w:r w:rsidRPr="00DF487C">
              <w:rPr>
                <w:rFonts w:ascii="Arial" w:hAnsi="Arial" w:cs="Arial"/>
                <w:b/>
                <w:color w:val="000000"/>
                <w:sz w:val="20"/>
                <w:szCs w:val="20"/>
              </w:rPr>
              <w:t>Regulation of nervous system development</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sz w:val="20"/>
                <w:szCs w:val="20"/>
              </w:rPr>
            </w:pPr>
            <w:r w:rsidRPr="00DF487C">
              <w:rPr>
                <w:rFonts w:ascii="Arial" w:hAnsi="Arial" w:cs="Arial"/>
                <w:bCs/>
                <w:color w:val="000000"/>
                <w:sz w:val="20"/>
                <w:szCs w:val="20"/>
              </w:rPr>
              <w:t>1424</w:t>
            </w:r>
          </w:p>
        </w:tc>
        <w:tc>
          <w:tcPr>
            <w:tcW w:w="81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333</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sz w:val="20"/>
                <w:szCs w:val="20"/>
              </w:rPr>
            </w:pPr>
            <w:r w:rsidRPr="00DF487C">
              <w:rPr>
                <w:rFonts w:ascii="Arial" w:hAnsi="Arial" w:cs="Arial"/>
                <w:bCs/>
                <w:color w:val="000000"/>
                <w:sz w:val="20"/>
                <w:szCs w:val="20"/>
              </w:rPr>
              <w:t>972</w:t>
            </w:r>
          </w:p>
        </w:tc>
        <w:tc>
          <w:tcPr>
            <w:tcW w:w="135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46</w:t>
            </w:r>
          </w:p>
        </w:tc>
        <w:tc>
          <w:tcPr>
            <w:tcW w:w="117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31</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50</w:t>
            </w:r>
          </w:p>
        </w:tc>
        <w:tc>
          <w:tcPr>
            <w:tcW w:w="135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521</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838</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2458</w:t>
            </w:r>
          </w:p>
        </w:tc>
      </w:tr>
      <w:tr w:rsidR="008B50C1" w:rsidRPr="00DF487C" w:rsidTr="008B50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GO:0051962</w:t>
            </w:r>
          </w:p>
        </w:tc>
        <w:tc>
          <w:tcPr>
            <w:tcW w:w="2340" w:type="dxa"/>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20"/>
                <w:szCs w:val="20"/>
              </w:rPr>
            </w:pPr>
            <w:r w:rsidRPr="00DF487C">
              <w:rPr>
                <w:rFonts w:ascii="Arial" w:hAnsi="Arial" w:cs="Arial"/>
                <w:b/>
                <w:color w:val="000000"/>
                <w:sz w:val="20"/>
                <w:szCs w:val="20"/>
              </w:rPr>
              <w:t>Positive regulation of nervous system development</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983</w:t>
            </w:r>
          </w:p>
        </w:tc>
        <w:tc>
          <w:tcPr>
            <w:tcW w:w="81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204</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20"/>
                <w:szCs w:val="20"/>
              </w:rPr>
            </w:pPr>
            <w:r w:rsidRPr="00DF487C">
              <w:rPr>
                <w:rFonts w:ascii="Arial" w:hAnsi="Arial" w:cs="Arial"/>
                <w:bCs/>
                <w:color w:val="000000"/>
                <w:sz w:val="20"/>
                <w:szCs w:val="20"/>
              </w:rPr>
              <w:t>800</w:t>
            </w:r>
          </w:p>
        </w:tc>
        <w:tc>
          <w:tcPr>
            <w:tcW w:w="135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39</w:t>
            </w:r>
          </w:p>
        </w:tc>
        <w:tc>
          <w:tcPr>
            <w:tcW w:w="117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19</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27</w:t>
            </w:r>
          </w:p>
        </w:tc>
        <w:tc>
          <w:tcPr>
            <w:tcW w:w="135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401</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598</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1884</w:t>
            </w:r>
          </w:p>
        </w:tc>
      </w:tr>
      <w:tr w:rsidR="008B50C1" w:rsidRPr="00DF487C" w:rsidTr="008B50C1">
        <w:tc>
          <w:tcPr>
            <w:cnfStyle w:val="001000000000" w:firstRow="0" w:lastRow="0" w:firstColumn="1" w:lastColumn="0" w:oddVBand="0" w:evenVBand="0" w:oddHBand="0" w:evenHBand="0" w:firstRowFirstColumn="0" w:firstRowLastColumn="0" w:lastRowFirstColumn="0" w:lastRowLastColumn="0"/>
            <w:tcW w:w="1440" w:type="dxa"/>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GO:0098609</w:t>
            </w:r>
          </w:p>
        </w:tc>
        <w:tc>
          <w:tcPr>
            <w:tcW w:w="2340" w:type="dxa"/>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0"/>
              </w:rPr>
            </w:pPr>
            <w:r w:rsidRPr="00DF487C">
              <w:rPr>
                <w:rFonts w:ascii="Arial" w:hAnsi="Arial" w:cs="Arial"/>
                <w:b/>
                <w:color w:val="000000"/>
                <w:sz w:val="20"/>
                <w:szCs w:val="20"/>
              </w:rPr>
              <w:t>Cell-cell adhesion</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1089</w:t>
            </w:r>
          </w:p>
        </w:tc>
        <w:tc>
          <w:tcPr>
            <w:tcW w:w="81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238</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sz w:val="20"/>
                <w:szCs w:val="20"/>
              </w:rPr>
            </w:pPr>
            <w:r w:rsidRPr="00DF487C">
              <w:rPr>
                <w:rFonts w:ascii="Arial" w:hAnsi="Arial" w:cs="Arial"/>
                <w:bCs/>
                <w:color w:val="000000"/>
                <w:sz w:val="20"/>
                <w:szCs w:val="20"/>
              </w:rPr>
              <w:t>470</w:t>
            </w:r>
          </w:p>
        </w:tc>
        <w:tc>
          <w:tcPr>
            <w:tcW w:w="135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64</w:t>
            </w:r>
          </w:p>
        </w:tc>
        <w:tc>
          <w:tcPr>
            <w:tcW w:w="117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14</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52</w:t>
            </w:r>
          </w:p>
        </w:tc>
        <w:tc>
          <w:tcPr>
            <w:tcW w:w="135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230</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369</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1199</w:t>
            </w:r>
          </w:p>
        </w:tc>
      </w:tr>
      <w:tr w:rsidR="008B50C1" w:rsidRPr="00DF487C" w:rsidTr="008B50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GO:0098742</w:t>
            </w:r>
          </w:p>
        </w:tc>
        <w:tc>
          <w:tcPr>
            <w:tcW w:w="2340" w:type="dxa"/>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20"/>
                <w:szCs w:val="20"/>
              </w:rPr>
            </w:pPr>
            <w:r w:rsidRPr="00DF487C">
              <w:rPr>
                <w:rFonts w:ascii="Arial" w:hAnsi="Arial" w:cs="Arial"/>
                <w:b/>
                <w:color w:val="000000"/>
                <w:sz w:val="20"/>
                <w:szCs w:val="20"/>
              </w:rPr>
              <w:t>Cell-cell adhesion via plasma-membrane adhesion molecules</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20"/>
                <w:szCs w:val="20"/>
              </w:rPr>
            </w:pPr>
            <w:r w:rsidRPr="00DF487C">
              <w:rPr>
                <w:rFonts w:ascii="Arial" w:hAnsi="Arial" w:cs="Arial"/>
                <w:bCs/>
                <w:color w:val="000000"/>
                <w:sz w:val="20"/>
                <w:szCs w:val="20"/>
              </w:rPr>
              <w:t>677</w:t>
            </w:r>
          </w:p>
        </w:tc>
        <w:tc>
          <w:tcPr>
            <w:tcW w:w="81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95</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20"/>
                <w:szCs w:val="20"/>
              </w:rPr>
            </w:pPr>
            <w:r w:rsidRPr="00DF487C">
              <w:rPr>
                <w:rFonts w:ascii="Arial" w:hAnsi="Arial" w:cs="Arial"/>
                <w:bCs/>
                <w:color w:val="000000"/>
                <w:sz w:val="20"/>
                <w:szCs w:val="20"/>
              </w:rPr>
              <w:t>69</w:t>
            </w:r>
          </w:p>
        </w:tc>
        <w:tc>
          <w:tcPr>
            <w:tcW w:w="135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34</w:t>
            </w:r>
          </w:p>
        </w:tc>
        <w:tc>
          <w:tcPr>
            <w:tcW w:w="117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0</w:t>
            </w:r>
          </w:p>
        </w:tc>
        <w:tc>
          <w:tcPr>
            <w:tcW w:w="135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107</w:t>
            </w:r>
          </w:p>
        </w:tc>
      </w:tr>
      <w:tr w:rsidR="008B50C1" w:rsidRPr="00DF487C" w:rsidTr="008B50C1">
        <w:tc>
          <w:tcPr>
            <w:cnfStyle w:val="001000000000" w:firstRow="0" w:lastRow="0" w:firstColumn="1" w:lastColumn="0" w:oddVBand="0" w:evenVBand="0" w:oddHBand="0" w:evenHBand="0" w:firstRowFirstColumn="0" w:firstRowLastColumn="0" w:lastRowFirstColumn="0" w:lastRowLastColumn="0"/>
            <w:tcW w:w="1440" w:type="dxa"/>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GO:0099537</w:t>
            </w:r>
          </w:p>
        </w:tc>
        <w:tc>
          <w:tcPr>
            <w:tcW w:w="2340" w:type="dxa"/>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0"/>
              </w:rPr>
            </w:pPr>
            <w:r w:rsidRPr="00DF487C">
              <w:rPr>
                <w:rFonts w:ascii="Arial" w:hAnsi="Arial" w:cs="Arial"/>
                <w:b/>
                <w:color w:val="000000"/>
                <w:sz w:val="20"/>
                <w:szCs w:val="20"/>
              </w:rPr>
              <w:t>Trans-synaptic signaling</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616</w:t>
            </w:r>
          </w:p>
        </w:tc>
        <w:tc>
          <w:tcPr>
            <w:tcW w:w="81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151</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sz w:val="20"/>
                <w:szCs w:val="20"/>
              </w:rPr>
            </w:pPr>
            <w:r w:rsidRPr="00DF487C">
              <w:rPr>
                <w:rFonts w:ascii="Arial" w:hAnsi="Arial" w:cs="Arial"/>
                <w:bCs/>
                <w:color w:val="000000"/>
                <w:sz w:val="20"/>
                <w:szCs w:val="20"/>
              </w:rPr>
              <w:t>482</w:t>
            </w:r>
          </w:p>
        </w:tc>
        <w:tc>
          <w:tcPr>
            <w:tcW w:w="135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64</w:t>
            </w:r>
          </w:p>
        </w:tc>
        <w:tc>
          <w:tcPr>
            <w:tcW w:w="117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102</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w:t>
            </w:r>
          </w:p>
        </w:tc>
        <w:tc>
          <w:tcPr>
            <w:tcW w:w="135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322</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435</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1411</w:t>
            </w:r>
          </w:p>
        </w:tc>
      </w:tr>
      <w:tr w:rsidR="008B50C1" w:rsidRPr="00DF487C" w:rsidTr="008B50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GO:0007268</w:t>
            </w:r>
          </w:p>
        </w:tc>
        <w:tc>
          <w:tcPr>
            <w:tcW w:w="2340" w:type="dxa"/>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20"/>
                <w:szCs w:val="20"/>
              </w:rPr>
            </w:pPr>
            <w:r w:rsidRPr="00DF487C">
              <w:rPr>
                <w:rFonts w:ascii="Arial" w:hAnsi="Arial" w:cs="Arial"/>
                <w:b/>
                <w:color w:val="000000"/>
                <w:sz w:val="20"/>
                <w:szCs w:val="20"/>
              </w:rPr>
              <w:t>Chemical synaptic transmission</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20"/>
                <w:szCs w:val="20"/>
              </w:rPr>
            </w:pPr>
            <w:r w:rsidRPr="00DF487C">
              <w:rPr>
                <w:rFonts w:ascii="Arial" w:hAnsi="Arial" w:cs="Arial"/>
                <w:bCs/>
                <w:color w:val="000000"/>
                <w:sz w:val="20"/>
                <w:szCs w:val="20"/>
              </w:rPr>
              <w:t>604</w:t>
            </w:r>
          </w:p>
        </w:tc>
        <w:tc>
          <w:tcPr>
            <w:tcW w:w="81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146</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20"/>
                <w:szCs w:val="20"/>
              </w:rPr>
            </w:pPr>
            <w:r w:rsidRPr="00DF487C">
              <w:rPr>
                <w:rFonts w:ascii="Arial" w:hAnsi="Arial" w:cs="Arial"/>
                <w:bCs/>
                <w:color w:val="000000"/>
                <w:sz w:val="20"/>
                <w:szCs w:val="20"/>
              </w:rPr>
              <w:t>440</w:t>
            </w:r>
          </w:p>
        </w:tc>
        <w:tc>
          <w:tcPr>
            <w:tcW w:w="135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60</w:t>
            </w:r>
          </w:p>
        </w:tc>
        <w:tc>
          <w:tcPr>
            <w:tcW w:w="117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96</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7</w:t>
            </w:r>
          </w:p>
        </w:tc>
        <w:tc>
          <w:tcPr>
            <w:tcW w:w="135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253</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356</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1212</w:t>
            </w:r>
          </w:p>
        </w:tc>
      </w:tr>
      <w:tr w:rsidR="008B50C1" w:rsidRPr="00DF487C" w:rsidTr="008B50C1">
        <w:tc>
          <w:tcPr>
            <w:cnfStyle w:val="001000000000" w:firstRow="0" w:lastRow="0" w:firstColumn="1" w:lastColumn="0" w:oddVBand="0" w:evenVBand="0" w:oddHBand="0" w:evenHBand="0" w:firstRowFirstColumn="0" w:firstRowLastColumn="0" w:lastRowFirstColumn="0" w:lastRowLastColumn="0"/>
            <w:tcW w:w="1440" w:type="dxa"/>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GO:0050804</w:t>
            </w:r>
          </w:p>
        </w:tc>
        <w:tc>
          <w:tcPr>
            <w:tcW w:w="2340" w:type="dxa"/>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0"/>
              </w:rPr>
            </w:pPr>
            <w:r w:rsidRPr="00DF487C">
              <w:rPr>
                <w:rFonts w:ascii="Arial" w:hAnsi="Arial" w:cs="Arial"/>
                <w:b/>
                <w:color w:val="000000"/>
                <w:sz w:val="20"/>
                <w:szCs w:val="20"/>
              </w:rPr>
              <w:t>Modulation of synaptic transmission</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sz w:val="20"/>
                <w:szCs w:val="20"/>
              </w:rPr>
            </w:pPr>
            <w:r w:rsidRPr="00DF487C">
              <w:rPr>
                <w:rFonts w:ascii="Arial" w:hAnsi="Arial" w:cs="Arial"/>
                <w:bCs/>
                <w:color w:val="000000"/>
                <w:sz w:val="20"/>
                <w:szCs w:val="20"/>
              </w:rPr>
              <w:t>529</w:t>
            </w:r>
          </w:p>
        </w:tc>
        <w:tc>
          <w:tcPr>
            <w:tcW w:w="81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130</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sz w:val="20"/>
                <w:szCs w:val="20"/>
              </w:rPr>
            </w:pPr>
            <w:r w:rsidRPr="00DF487C">
              <w:rPr>
                <w:rFonts w:ascii="Arial" w:hAnsi="Arial" w:cs="Arial"/>
                <w:bCs/>
                <w:color w:val="000000"/>
                <w:sz w:val="20"/>
                <w:szCs w:val="20"/>
              </w:rPr>
              <w:t>746</w:t>
            </w:r>
          </w:p>
        </w:tc>
        <w:tc>
          <w:tcPr>
            <w:tcW w:w="135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71</w:t>
            </w:r>
          </w:p>
        </w:tc>
        <w:tc>
          <w:tcPr>
            <w:tcW w:w="117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42</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18</w:t>
            </w:r>
          </w:p>
        </w:tc>
        <w:tc>
          <w:tcPr>
            <w:tcW w:w="135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279</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357</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1513</w:t>
            </w:r>
          </w:p>
        </w:tc>
      </w:tr>
      <w:tr w:rsidR="008B50C1" w:rsidRPr="00DF487C" w:rsidTr="008B50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GO:0044708</w:t>
            </w:r>
          </w:p>
        </w:tc>
        <w:tc>
          <w:tcPr>
            <w:tcW w:w="2340" w:type="dxa"/>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20"/>
                <w:szCs w:val="20"/>
              </w:rPr>
            </w:pPr>
            <w:r w:rsidRPr="00DF487C">
              <w:rPr>
                <w:rFonts w:ascii="Arial" w:hAnsi="Arial" w:cs="Arial"/>
                <w:b/>
                <w:color w:val="000000"/>
                <w:sz w:val="20"/>
                <w:szCs w:val="20"/>
              </w:rPr>
              <w:t>Single organism behavior</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674</w:t>
            </w:r>
          </w:p>
        </w:tc>
        <w:tc>
          <w:tcPr>
            <w:tcW w:w="81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165</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20"/>
                <w:szCs w:val="20"/>
              </w:rPr>
            </w:pPr>
            <w:r w:rsidRPr="00DF487C">
              <w:rPr>
                <w:rFonts w:ascii="Arial" w:hAnsi="Arial" w:cs="Arial"/>
                <w:bCs/>
                <w:color w:val="000000"/>
                <w:sz w:val="20"/>
                <w:szCs w:val="20"/>
              </w:rPr>
              <w:t>638</w:t>
            </w:r>
          </w:p>
        </w:tc>
        <w:tc>
          <w:tcPr>
            <w:tcW w:w="135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59</w:t>
            </w:r>
          </w:p>
        </w:tc>
        <w:tc>
          <w:tcPr>
            <w:tcW w:w="117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19</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10</w:t>
            </w:r>
          </w:p>
        </w:tc>
        <w:tc>
          <w:tcPr>
            <w:tcW w:w="135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344</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467</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1537</w:t>
            </w:r>
          </w:p>
        </w:tc>
      </w:tr>
      <w:tr w:rsidR="008B50C1" w:rsidRPr="00DF487C" w:rsidTr="008B50C1">
        <w:tc>
          <w:tcPr>
            <w:cnfStyle w:val="001000000000" w:firstRow="0" w:lastRow="0" w:firstColumn="1" w:lastColumn="0" w:oddVBand="0" w:evenVBand="0" w:oddHBand="0" w:evenHBand="0" w:firstRowFirstColumn="0" w:firstRowLastColumn="0" w:lastRowFirstColumn="0" w:lastRowLastColumn="0"/>
            <w:tcW w:w="1440" w:type="dxa"/>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GO:0042391</w:t>
            </w:r>
          </w:p>
        </w:tc>
        <w:tc>
          <w:tcPr>
            <w:tcW w:w="2340" w:type="dxa"/>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0"/>
              </w:rPr>
            </w:pPr>
            <w:r w:rsidRPr="00DF487C">
              <w:rPr>
                <w:rFonts w:ascii="Arial" w:hAnsi="Arial" w:cs="Arial"/>
                <w:b/>
                <w:color w:val="000000"/>
                <w:sz w:val="20"/>
                <w:szCs w:val="20"/>
              </w:rPr>
              <w:t>Regulation of membrane potential</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sz w:val="20"/>
                <w:szCs w:val="20"/>
              </w:rPr>
            </w:pPr>
            <w:r w:rsidRPr="00DF487C">
              <w:rPr>
                <w:rFonts w:ascii="Arial" w:hAnsi="Arial" w:cs="Arial"/>
                <w:bCs/>
                <w:color w:val="000000"/>
                <w:sz w:val="20"/>
                <w:szCs w:val="20"/>
              </w:rPr>
              <w:t>592</w:t>
            </w:r>
          </w:p>
        </w:tc>
        <w:tc>
          <w:tcPr>
            <w:tcW w:w="81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153</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sz w:val="20"/>
                <w:szCs w:val="20"/>
              </w:rPr>
            </w:pPr>
            <w:r w:rsidRPr="00DF487C">
              <w:rPr>
                <w:rFonts w:ascii="Arial" w:hAnsi="Arial" w:cs="Arial"/>
                <w:bCs/>
                <w:color w:val="000000"/>
                <w:sz w:val="20"/>
                <w:szCs w:val="20"/>
              </w:rPr>
              <w:t>620</w:t>
            </w:r>
          </w:p>
        </w:tc>
        <w:tc>
          <w:tcPr>
            <w:tcW w:w="135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103</w:t>
            </w:r>
          </w:p>
        </w:tc>
        <w:tc>
          <w:tcPr>
            <w:tcW w:w="117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90</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82</w:t>
            </w:r>
          </w:p>
        </w:tc>
        <w:tc>
          <w:tcPr>
            <w:tcW w:w="135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217</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268</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1380</w:t>
            </w:r>
          </w:p>
        </w:tc>
      </w:tr>
      <w:tr w:rsidR="008B50C1" w:rsidRPr="00DF487C" w:rsidTr="008B50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GO:1901137</w:t>
            </w:r>
          </w:p>
        </w:tc>
        <w:tc>
          <w:tcPr>
            <w:tcW w:w="2340" w:type="dxa"/>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20"/>
                <w:szCs w:val="20"/>
              </w:rPr>
            </w:pPr>
            <w:r w:rsidRPr="00DF487C">
              <w:rPr>
                <w:rFonts w:ascii="Arial" w:hAnsi="Arial" w:cs="Arial"/>
                <w:b/>
                <w:color w:val="000000"/>
                <w:sz w:val="20"/>
                <w:szCs w:val="20"/>
              </w:rPr>
              <w:t>Carbohydrate derivative biosynthetic process</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678</w:t>
            </w:r>
          </w:p>
        </w:tc>
        <w:tc>
          <w:tcPr>
            <w:tcW w:w="81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209</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20"/>
                <w:szCs w:val="20"/>
              </w:rPr>
            </w:pPr>
            <w:r w:rsidRPr="00DF487C">
              <w:rPr>
                <w:rFonts w:ascii="Arial" w:hAnsi="Arial" w:cs="Arial"/>
                <w:bCs/>
                <w:color w:val="000000"/>
                <w:sz w:val="20"/>
                <w:szCs w:val="20"/>
              </w:rPr>
              <w:t>215</w:t>
            </w:r>
          </w:p>
        </w:tc>
        <w:tc>
          <w:tcPr>
            <w:tcW w:w="135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26</w:t>
            </w:r>
          </w:p>
        </w:tc>
        <w:tc>
          <w:tcPr>
            <w:tcW w:w="117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52</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0</w:t>
            </w:r>
          </w:p>
        </w:tc>
        <w:tc>
          <w:tcPr>
            <w:tcW w:w="135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0</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0</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293</w:t>
            </w:r>
          </w:p>
        </w:tc>
      </w:tr>
      <w:tr w:rsidR="008B50C1" w:rsidRPr="00DF487C" w:rsidTr="008B50C1">
        <w:tc>
          <w:tcPr>
            <w:cnfStyle w:val="001000000000" w:firstRow="0" w:lastRow="0" w:firstColumn="1" w:lastColumn="0" w:oddVBand="0" w:evenVBand="0" w:oddHBand="0" w:evenHBand="0" w:firstRowFirstColumn="0" w:firstRowLastColumn="0" w:lastRowFirstColumn="0" w:lastRowLastColumn="0"/>
            <w:tcW w:w="1440" w:type="dxa"/>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GO:0043005</w:t>
            </w:r>
          </w:p>
        </w:tc>
        <w:tc>
          <w:tcPr>
            <w:tcW w:w="2340" w:type="dxa"/>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0"/>
              </w:rPr>
            </w:pPr>
            <w:r w:rsidRPr="00DF487C">
              <w:rPr>
                <w:rFonts w:ascii="Arial" w:hAnsi="Arial" w:cs="Arial"/>
                <w:b/>
                <w:color w:val="000000"/>
                <w:sz w:val="20"/>
                <w:szCs w:val="20"/>
              </w:rPr>
              <w:t>Neuron projection</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1486</w:t>
            </w:r>
          </w:p>
        </w:tc>
        <w:tc>
          <w:tcPr>
            <w:tcW w:w="81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386</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606</w:t>
            </w:r>
          </w:p>
        </w:tc>
        <w:tc>
          <w:tcPr>
            <w:tcW w:w="135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sz w:val="20"/>
                <w:szCs w:val="20"/>
              </w:rPr>
            </w:pPr>
            <w:r w:rsidRPr="00DF487C">
              <w:rPr>
                <w:rFonts w:ascii="Arial" w:hAnsi="Arial" w:cs="Arial"/>
                <w:bCs/>
                <w:color w:val="000000"/>
                <w:sz w:val="20"/>
                <w:szCs w:val="20"/>
              </w:rPr>
              <w:t>107</w:t>
            </w:r>
          </w:p>
        </w:tc>
        <w:tc>
          <w:tcPr>
            <w:tcW w:w="117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58</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28</w:t>
            </w:r>
          </w:p>
        </w:tc>
        <w:tc>
          <w:tcPr>
            <w:tcW w:w="135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335</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419</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1553</w:t>
            </w:r>
          </w:p>
        </w:tc>
      </w:tr>
      <w:tr w:rsidR="008B50C1" w:rsidRPr="00DF487C" w:rsidTr="008B50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vAlign w:val="bottom"/>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GO:0098590</w:t>
            </w:r>
          </w:p>
          <w:p w:rsidR="008B50C1" w:rsidRPr="00DF487C" w:rsidRDefault="008B50C1" w:rsidP="008B50C1">
            <w:pPr>
              <w:jc w:val="center"/>
              <w:rPr>
                <w:rFonts w:ascii="Arial" w:hAnsi="Arial" w:cs="Arial"/>
                <w:color w:val="000000"/>
                <w:sz w:val="20"/>
                <w:szCs w:val="20"/>
              </w:rPr>
            </w:pPr>
          </w:p>
        </w:tc>
        <w:tc>
          <w:tcPr>
            <w:tcW w:w="234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20"/>
                <w:szCs w:val="20"/>
              </w:rPr>
            </w:pPr>
            <w:r w:rsidRPr="00DF487C">
              <w:rPr>
                <w:rFonts w:ascii="Arial" w:hAnsi="Arial" w:cs="Arial"/>
                <w:b/>
                <w:bCs/>
                <w:color w:val="000000"/>
                <w:sz w:val="20"/>
                <w:szCs w:val="20"/>
              </w:rPr>
              <w:t>Plasma membrane region</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1310</w:t>
            </w:r>
          </w:p>
        </w:tc>
        <w:tc>
          <w:tcPr>
            <w:tcW w:w="81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371</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433</w:t>
            </w:r>
          </w:p>
        </w:tc>
        <w:tc>
          <w:tcPr>
            <w:tcW w:w="135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20"/>
                <w:szCs w:val="20"/>
              </w:rPr>
            </w:pPr>
            <w:r w:rsidRPr="00DF487C">
              <w:rPr>
                <w:rFonts w:ascii="Arial" w:hAnsi="Arial" w:cs="Arial"/>
                <w:bCs/>
                <w:color w:val="000000"/>
                <w:sz w:val="20"/>
                <w:szCs w:val="20"/>
              </w:rPr>
              <w:t>153</w:t>
            </w:r>
          </w:p>
        </w:tc>
        <w:tc>
          <w:tcPr>
            <w:tcW w:w="117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110</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0</w:t>
            </w:r>
          </w:p>
        </w:tc>
        <w:tc>
          <w:tcPr>
            <w:tcW w:w="135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266</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345</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1307</w:t>
            </w:r>
          </w:p>
        </w:tc>
      </w:tr>
      <w:tr w:rsidR="008B50C1" w:rsidRPr="00DF487C" w:rsidTr="008B50C1">
        <w:tc>
          <w:tcPr>
            <w:cnfStyle w:val="001000000000" w:firstRow="0" w:lastRow="0" w:firstColumn="1" w:lastColumn="0" w:oddVBand="0" w:evenVBand="0" w:oddHBand="0" w:evenHBand="0" w:firstRowFirstColumn="0" w:firstRowLastColumn="0" w:lastRowFirstColumn="0" w:lastRowLastColumn="0"/>
            <w:tcW w:w="1440" w:type="dxa"/>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GO:0044456</w:t>
            </w:r>
          </w:p>
        </w:tc>
        <w:tc>
          <w:tcPr>
            <w:tcW w:w="2340" w:type="dxa"/>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0"/>
              </w:rPr>
            </w:pPr>
            <w:r w:rsidRPr="00DF487C">
              <w:rPr>
                <w:rFonts w:ascii="Arial" w:hAnsi="Arial" w:cs="Arial"/>
                <w:b/>
                <w:color w:val="000000"/>
                <w:sz w:val="20"/>
                <w:szCs w:val="20"/>
              </w:rPr>
              <w:t>Synapse part</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1089</w:t>
            </w:r>
          </w:p>
        </w:tc>
        <w:tc>
          <w:tcPr>
            <w:tcW w:w="81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270</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468</w:t>
            </w:r>
          </w:p>
        </w:tc>
        <w:tc>
          <w:tcPr>
            <w:tcW w:w="135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sz w:val="20"/>
                <w:szCs w:val="20"/>
              </w:rPr>
            </w:pPr>
            <w:r w:rsidRPr="00DF487C">
              <w:rPr>
                <w:rFonts w:ascii="Arial" w:hAnsi="Arial" w:cs="Arial"/>
                <w:bCs/>
                <w:color w:val="000000"/>
                <w:sz w:val="20"/>
                <w:szCs w:val="20"/>
              </w:rPr>
              <w:t>118</w:t>
            </w:r>
          </w:p>
        </w:tc>
        <w:tc>
          <w:tcPr>
            <w:tcW w:w="117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83</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w:t>
            </w:r>
          </w:p>
        </w:tc>
        <w:tc>
          <w:tcPr>
            <w:tcW w:w="135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238</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320</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1231</w:t>
            </w:r>
          </w:p>
        </w:tc>
      </w:tr>
      <w:tr w:rsidR="008B50C1" w:rsidRPr="00DF487C" w:rsidTr="008B50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vAlign w:val="bottom"/>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GO:0009986</w:t>
            </w:r>
          </w:p>
        </w:tc>
        <w:tc>
          <w:tcPr>
            <w:tcW w:w="234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20"/>
                <w:szCs w:val="20"/>
              </w:rPr>
            </w:pPr>
            <w:r w:rsidRPr="00DF487C">
              <w:rPr>
                <w:rFonts w:ascii="Arial" w:hAnsi="Arial" w:cs="Arial"/>
                <w:b/>
                <w:bCs/>
                <w:color w:val="000000"/>
                <w:sz w:val="20"/>
                <w:szCs w:val="20"/>
              </w:rPr>
              <w:t>Cell surface</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921</w:t>
            </w:r>
          </w:p>
        </w:tc>
        <w:tc>
          <w:tcPr>
            <w:tcW w:w="81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267</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854</w:t>
            </w:r>
          </w:p>
        </w:tc>
        <w:tc>
          <w:tcPr>
            <w:tcW w:w="135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20"/>
                <w:szCs w:val="20"/>
              </w:rPr>
            </w:pPr>
            <w:r w:rsidRPr="00DF487C">
              <w:rPr>
                <w:rFonts w:ascii="Arial" w:hAnsi="Arial" w:cs="Arial"/>
                <w:bCs/>
                <w:color w:val="000000"/>
                <w:sz w:val="20"/>
                <w:szCs w:val="20"/>
              </w:rPr>
              <w:t>96</w:t>
            </w:r>
          </w:p>
        </w:tc>
        <w:tc>
          <w:tcPr>
            <w:tcW w:w="117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43</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w:t>
            </w:r>
          </w:p>
        </w:tc>
        <w:tc>
          <w:tcPr>
            <w:tcW w:w="135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394</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523</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1913</w:t>
            </w:r>
          </w:p>
        </w:tc>
      </w:tr>
      <w:tr w:rsidR="008B50C1" w:rsidRPr="00DF487C" w:rsidTr="008B50C1">
        <w:tc>
          <w:tcPr>
            <w:cnfStyle w:val="001000000000" w:firstRow="0" w:lastRow="0" w:firstColumn="1" w:lastColumn="0" w:oddVBand="0" w:evenVBand="0" w:oddHBand="0" w:evenHBand="0" w:firstRowFirstColumn="0" w:firstRowLastColumn="0" w:lastRowFirstColumn="0" w:lastRowLastColumn="0"/>
            <w:tcW w:w="1440" w:type="dxa"/>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GO:0098794</w:t>
            </w:r>
          </w:p>
        </w:tc>
        <w:tc>
          <w:tcPr>
            <w:tcW w:w="2340" w:type="dxa"/>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0"/>
              </w:rPr>
            </w:pPr>
            <w:proofErr w:type="spellStart"/>
            <w:r w:rsidRPr="00DF487C">
              <w:rPr>
                <w:rFonts w:ascii="Arial" w:hAnsi="Arial" w:cs="Arial"/>
                <w:b/>
                <w:color w:val="000000"/>
                <w:sz w:val="20"/>
                <w:szCs w:val="20"/>
              </w:rPr>
              <w:t>Postsynapse</w:t>
            </w:r>
            <w:proofErr w:type="spellEnd"/>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sz w:val="20"/>
                <w:szCs w:val="20"/>
              </w:rPr>
            </w:pPr>
            <w:r w:rsidRPr="00DF487C">
              <w:rPr>
                <w:rFonts w:ascii="Arial" w:hAnsi="Arial" w:cs="Arial"/>
                <w:bCs/>
                <w:color w:val="000000"/>
                <w:sz w:val="20"/>
                <w:szCs w:val="20"/>
              </w:rPr>
              <w:t>826</w:t>
            </w:r>
          </w:p>
        </w:tc>
        <w:tc>
          <w:tcPr>
            <w:tcW w:w="81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179</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361</w:t>
            </w:r>
          </w:p>
        </w:tc>
        <w:tc>
          <w:tcPr>
            <w:tcW w:w="135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sz w:val="20"/>
                <w:szCs w:val="20"/>
              </w:rPr>
            </w:pPr>
            <w:r w:rsidRPr="00DF487C">
              <w:rPr>
                <w:rFonts w:ascii="Arial" w:hAnsi="Arial" w:cs="Arial"/>
                <w:bCs/>
                <w:color w:val="000000"/>
                <w:sz w:val="20"/>
                <w:szCs w:val="20"/>
              </w:rPr>
              <w:t>104</w:t>
            </w:r>
          </w:p>
        </w:tc>
        <w:tc>
          <w:tcPr>
            <w:tcW w:w="117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68</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0</w:t>
            </w:r>
          </w:p>
        </w:tc>
        <w:tc>
          <w:tcPr>
            <w:tcW w:w="135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229</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279</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1041</w:t>
            </w:r>
          </w:p>
        </w:tc>
      </w:tr>
      <w:tr w:rsidR="008B50C1" w:rsidRPr="00DF487C" w:rsidTr="008B50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vAlign w:val="bottom"/>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GO:0044297</w:t>
            </w:r>
          </w:p>
        </w:tc>
        <w:tc>
          <w:tcPr>
            <w:tcW w:w="234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20"/>
                <w:szCs w:val="20"/>
              </w:rPr>
            </w:pPr>
            <w:r w:rsidRPr="00DF487C">
              <w:rPr>
                <w:rFonts w:ascii="Arial" w:hAnsi="Arial" w:cs="Arial"/>
                <w:b/>
                <w:bCs/>
                <w:color w:val="000000"/>
                <w:sz w:val="20"/>
                <w:szCs w:val="20"/>
              </w:rPr>
              <w:t>Cell body</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20"/>
                <w:szCs w:val="20"/>
              </w:rPr>
            </w:pPr>
            <w:r w:rsidRPr="00DF487C">
              <w:rPr>
                <w:rFonts w:ascii="Arial" w:hAnsi="Arial" w:cs="Arial"/>
                <w:bCs/>
                <w:color w:val="000000"/>
                <w:sz w:val="20"/>
                <w:szCs w:val="20"/>
              </w:rPr>
              <w:t>737</w:t>
            </w:r>
          </w:p>
        </w:tc>
        <w:tc>
          <w:tcPr>
            <w:tcW w:w="81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188</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536</w:t>
            </w:r>
          </w:p>
        </w:tc>
        <w:tc>
          <w:tcPr>
            <w:tcW w:w="135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20"/>
                <w:szCs w:val="20"/>
              </w:rPr>
            </w:pPr>
            <w:r w:rsidRPr="00DF487C">
              <w:rPr>
                <w:rFonts w:ascii="Arial" w:hAnsi="Arial" w:cs="Arial"/>
                <w:bCs/>
                <w:color w:val="000000"/>
                <w:sz w:val="20"/>
                <w:szCs w:val="20"/>
              </w:rPr>
              <w:t>81</w:t>
            </w:r>
          </w:p>
        </w:tc>
        <w:tc>
          <w:tcPr>
            <w:tcW w:w="117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50</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32</w:t>
            </w:r>
          </w:p>
        </w:tc>
        <w:tc>
          <w:tcPr>
            <w:tcW w:w="135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190</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250</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1139</w:t>
            </w:r>
          </w:p>
        </w:tc>
      </w:tr>
      <w:tr w:rsidR="008B50C1" w:rsidRPr="00DF487C" w:rsidTr="008B50C1">
        <w:tc>
          <w:tcPr>
            <w:cnfStyle w:val="001000000000" w:firstRow="0" w:lastRow="0" w:firstColumn="1" w:lastColumn="0" w:oddVBand="0" w:evenVBand="0" w:oddHBand="0" w:evenHBand="0" w:firstRowFirstColumn="0" w:firstRowLastColumn="0" w:lastRowFirstColumn="0" w:lastRowLastColumn="0"/>
            <w:tcW w:w="1440" w:type="dxa"/>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GO:0097060</w:t>
            </w:r>
          </w:p>
        </w:tc>
        <w:tc>
          <w:tcPr>
            <w:tcW w:w="2340" w:type="dxa"/>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0"/>
              </w:rPr>
            </w:pPr>
            <w:r w:rsidRPr="00DF487C">
              <w:rPr>
                <w:rFonts w:ascii="Arial" w:hAnsi="Arial" w:cs="Arial"/>
                <w:b/>
                <w:color w:val="000000"/>
                <w:sz w:val="20"/>
                <w:szCs w:val="20"/>
              </w:rPr>
              <w:t>Synaptic membrane</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679</w:t>
            </w:r>
          </w:p>
        </w:tc>
        <w:tc>
          <w:tcPr>
            <w:tcW w:w="81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132</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209</w:t>
            </w:r>
          </w:p>
        </w:tc>
        <w:tc>
          <w:tcPr>
            <w:tcW w:w="135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sz w:val="20"/>
                <w:szCs w:val="20"/>
              </w:rPr>
            </w:pPr>
            <w:r w:rsidRPr="00DF487C">
              <w:rPr>
                <w:rFonts w:ascii="Arial" w:hAnsi="Arial" w:cs="Arial"/>
                <w:bCs/>
                <w:color w:val="000000"/>
                <w:sz w:val="20"/>
                <w:szCs w:val="20"/>
              </w:rPr>
              <w:t>83</w:t>
            </w:r>
          </w:p>
        </w:tc>
        <w:tc>
          <w:tcPr>
            <w:tcW w:w="117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64</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0</w:t>
            </w:r>
          </w:p>
        </w:tc>
        <w:tc>
          <w:tcPr>
            <w:tcW w:w="135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162</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220</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738</w:t>
            </w:r>
          </w:p>
        </w:tc>
      </w:tr>
      <w:tr w:rsidR="008B50C1" w:rsidRPr="00DF487C" w:rsidTr="008B50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GO:0045211</w:t>
            </w:r>
          </w:p>
        </w:tc>
        <w:tc>
          <w:tcPr>
            <w:tcW w:w="2340" w:type="dxa"/>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20"/>
                <w:szCs w:val="20"/>
              </w:rPr>
            </w:pPr>
            <w:r w:rsidRPr="00DF487C">
              <w:rPr>
                <w:rFonts w:ascii="Arial" w:hAnsi="Arial" w:cs="Arial"/>
                <w:b/>
                <w:color w:val="000000"/>
                <w:sz w:val="20"/>
                <w:szCs w:val="20"/>
              </w:rPr>
              <w:t>Postsynaptic membrane</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20"/>
                <w:szCs w:val="20"/>
              </w:rPr>
            </w:pPr>
            <w:r w:rsidRPr="00DF487C">
              <w:rPr>
                <w:rFonts w:ascii="Arial" w:hAnsi="Arial" w:cs="Arial"/>
                <w:bCs/>
                <w:color w:val="000000"/>
                <w:sz w:val="20"/>
                <w:szCs w:val="20"/>
              </w:rPr>
              <w:t>577</w:t>
            </w:r>
          </w:p>
        </w:tc>
        <w:tc>
          <w:tcPr>
            <w:tcW w:w="81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102</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154</w:t>
            </w:r>
          </w:p>
        </w:tc>
        <w:tc>
          <w:tcPr>
            <w:tcW w:w="135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20"/>
                <w:szCs w:val="20"/>
              </w:rPr>
            </w:pPr>
            <w:r w:rsidRPr="00DF487C">
              <w:rPr>
                <w:rFonts w:ascii="Arial" w:hAnsi="Arial" w:cs="Arial"/>
                <w:bCs/>
                <w:color w:val="000000"/>
                <w:sz w:val="20"/>
                <w:szCs w:val="20"/>
              </w:rPr>
              <w:t>72</w:t>
            </w:r>
          </w:p>
        </w:tc>
        <w:tc>
          <w:tcPr>
            <w:tcW w:w="117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62</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0</w:t>
            </w:r>
          </w:p>
        </w:tc>
        <w:tc>
          <w:tcPr>
            <w:tcW w:w="135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146</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167</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601</w:t>
            </w:r>
          </w:p>
        </w:tc>
      </w:tr>
      <w:tr w:rsidR="008B50C1" w:rsidRPr="00DF487C" w:rsidTr="008B50C1">
        <w:tc>
          <w:tcPr>
            <w:cnfStyle w:val="001000000000" w:firstRow="0" w:lastRow="0" w:firstColumn="1" w:lastColumn="0" w:oddVBand="0" w:evenVBand="0" w:oddHBand="0" w:evenHBand="0" w:firstRowFirstColumn="0" w:firstRowLastColumn="0" w:lastRowFirstColumn="0" w:lastRowLastColumn="0"/>
            <w:tcW w:w="1440" w:type="dxa"/>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lastRenderedPageBreak/>
              <w:t>GO:0036477</w:t>
            </w:r>
          </w:p>
        </w:tc>
        <w:tc>
          <w:tcPr>
            <w:tcW w:w="2340" w:type="dxa"/>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0"/>
              </w:rPr>
            </w:pPr>
            <w:proofErr w:type="spellStart"/>
            <w:r w:rsidRPr="00DF487C">
              <w:rPr>
                <w:rFonts w:ascii="Arial" w:hAnsi="Arial" w:cs="Arial"/>
                <w:b/>
                <w:color w:val="000000"/>
                <w:sz w:val="20"/>
                <w:szCs w:val="20"/>
              </w:rPr>
              <w:t>Somatodendritic</w:t>
            </w:r>
            <w:proofErr w:type="spellEnd"/>
            <w:r w:rsidRPr="00DF487C">
              <w:rPr>
                <w:rFonts w:ascii="Arial" w:hAnsi="Arial" w:cs="Arial"/>
                <w:b/>
                <w:color w:val="000000"/>
                <w:sz w:val="20"/>
                <w:szCs w:val="20"/>
              </w:rPr>
              <w:t xml:space="preserve"> compartment</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995</w:t>
            </w:r>
          </w:p>
        </w:tc>
        <w:tc>
          <w:tcPr>
            <w:tcW w:w="81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286</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599</w:t>
            </w:r>
          </w:p>
        </w:tc>
        <w:tc>
          <w:tcPr>
            <w:tcW w:w="135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sz w:val="20"/>
                <w:szCs w:val="20"/>
              </w:rPr>
            </w:pPr>
            <w:r w:rsidRPr="00DF487C">
              <w:rPr>
                <w:rFonts w:ascii="Arial" w:hAnsi="Arial" w:cs="Arial"/>
                <w:bCs/>
                <w:color w:val="000000"/>
                <w:sz w:val="20"/>
                <w:szCs w:val="20"/>
              </w:rPr>
              <w:t>96</w:t>
            </w:r>
          </w:p>
        </w:tc>
        <w:tc>
          <w:tcPr>
            <w:tcW w:w="117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64</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62</w:t>
            </w:r>
          </w:p>
        </w:tc>
        <w:tc>
          <w:tcPr>
            <w:tcW w:w="135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245</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361</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1427</w:t>
            </w:r>
          </w:p>
        </w:tc>
      </w:tr>
      <w:tr w:rsidR="008B50C1" w:rsidRPr="00DF487C" w:rsidTr="008B50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GO:0043025</w:t>
            </w:r>
          </w:p>
        </w:tc>
        <w:tc>
          <w:tcPr>
            <w:tcW w:w="2340" w:type="dxa"/>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20"/>
                <w:szCs w:val="20"/>
              </w:rPr>
            </w:pPr>
            <w:r w:rsidRPr="00DF487C">
              <w:rPr>
                <w:rFonts w:ascii="Arial" w:hAnsi="Arial" w:cs="Arial"/>
                <w:b/>
                <w:color w:val="000000"/>
                <w:sz w:val="20"/>
                <w:szCs w:val="20"/>
              </w:rPr>
              <w:t>Neuronal cell body</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20"/>
                <w:szCs w:val="20"/>
              </w:rPr>
            </w:pPr>
            <w:r w:rsidRPr="00DF487C">
              <w:rPr>
                <w:rFonts w:ascii="Arial" w:hAnsi="Arial" w:cs="Arial"/>
                <w:bCs/>
                <w:color w:val="000000"/>
                <w:sz w:val="20"/>
                <w:szCs w:val="20"/>
              </w:rPr>
              <w:t>645</w:t>
            </w:r>
          </w:p>
        </w:tc>
        <w:tc>
          <w:tcPr>
            <w:tcW w:w="81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165</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464</w:t>
            </w:r>
          </w:p>
        </w:tc>
        <w:tc>
          <w:tcPr>
            <w:tcW w:w="135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20"/>
                <w:szCs w:val="20"/>
              </w:rPr>
            </w:pPr>
            <w:r w:rsidRPr="00DF487C">
              <w:rPr>
                <w:rFonts w:ascii="Arial" w:hAnsi="Arial" w:cs="Arial"/>
                <w:bCs/>
                <w:color w:val="000000"/>
                <w:sz w:val="20"/>
                <w:szCs w:val="20"/>
              </w:rPr>
              <w:t>71</w:t>
            </w:r>
          </w:p>
        </w:tc>
        <w:tc>
          <w:tcPr>
            <w:tcW w:w="117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45</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51</w:t>
            </w:r>
          </w:p>
        </w:tc>
        <w:tc>
          <w:tcPr>
            <w:tcW w:w="135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170</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204</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1005</w:t>
            </w:r>
          </w:p>
        </w:tc>
      </w:tr>
      <w:tr w:rsidR="008B50C1" w:rsidRPr="00DF487C" w:rsidTr="008B50C1">
        <w:tc>
          <w:tcPr>
            <w:cnfStyle w:val="001000000000" w:firstRow="0" w:lastRow="0" w:firstColumn="1" w:lastColumn="0" w:oddVBand="0" w:evenVBand="0" w:oddHBand="0" w:evenHBand="0" w:firstRowFirstColumn="0" w:firstRowLastColumn="0" w:lastRowFirstColumn="0" w:lastRowLastColumn="0"/>
            <w:tcW w:w="1440" w:type="dxa"/>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GO:0030424</w:t>
            </w:r>
          </w:p>
        </w:tc>
        <w:tc>
          <w:tcPr>
            <w:tcW w:w="2340" w:type="dxa"/>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0"/>
              </w:rPr>
            </w:pPr>
            <w:r w:rsidRPr="00DF487C">
              <w:rPr>
                <w:rFonts w:ascii="Arial" w:hAnsi="Arial" w:cs="Arial"/>
                <w:b/>
                <w:color w:val="000000"/>
                <w:sz w:val="20"/>
                <w:szCs w:val="20"/>
              </w:rPr>
              <w:t>Axon</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651</w:t>
            </w:r>
          </w:p>
        </w:tc>
        <w:tc>
          <w:tcPr>
            <w:tcW w:w="81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158</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516</w:t>
            </w:r>
          </w:p>
        </w:tc>
        <w:tc>
          <w:tcPr>
            <w:tcW w:w="135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sz w:val="20"/>
                <w:szCs w:val="20"/>
              </w:rPr>
            </w:pPr>
            <w:r w:rsidRPr="00DF487C">
              <w:rPr>
                <w:rFonts w:ascii="Arial" w:hAnsi="Arial" w:cs="Arial"/>
                <w:bCs/>
                <w:color w:val="000000"/>
                <w:sz w:val="20"/>
                <w:szCs w:val="20"/>
              </w:rPr>
              <w:t>93</w:t>
            </w:r>
          </w:p>
        </w:tc>
        <w:tc>
          <w:tcPr>
            <w:tcW w:w="117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50</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0</w:t>
            </w:r>
          </w:p>
        </w:tc>
        <w:tc>
          <w:tcPr>
            <w:tcW w:w="135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161</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208</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1028</w:t>
            </w:r>
          </w:p>
        </w:tc>
      </w:tr>
      <w:tr w:rsidR="008B50C1" w:rsidRPr="00DF487C" w:rsidTr="008B50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GO:0031012</w:t>
            </w:r>
          </w:p>
        </w:tc>
        <w:tc>
          <w:tcPr>
            <w:tcW w:w="2340" w:type="dxa"/>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20"/>
                <w:szCs w:val="20"/>
              </w:rPr>
            </w:pPr>
            <w:r w:rsidRPr="00DF487C">
              <w:rPr>
                <w:rFonts w:ascii="Arial" w:hAnsi="Arial" w:cs="Arial"/>
                <w:b/>
                <w:color w:val="000000"/>
                <w:sz w:val="20"/>
                <w:szCs w:val="20"/>
              </w:rPr>
              <w:t>Extracellular matrix</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20"/>
                <w:szCs w:val="20"/>
              </w:rPr>
            </w:pPr>
            <w:r w:rsidRPr="00DF487C">
              <w:rPr>
                <w:rFonts w:ascii="Arial" w:hAnsi="Arial" w:cs="Arial"/>
                <w:bCs/>
                <w:color w:val="000000"/>
                <w:sz w:val="20"/>
                <w:szCs w:val="20"/>
              </w:rPr>
              <w:t>674</w:t>
            </w:r>
          </w:p>
        </w:tc>
        <w:tc>
          <w:tcPr>
            <w:tcW w:w="81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187</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211</w:t>
            </w:r>
          </w:p>
        </w:tc>
        <w:tc>
          <w:tcPr>
            <w:tcW w:w="135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20"/>
                <w:szCs w:val="20"/>
              </w:rPr>
            </w:pPr>
            <w:r w:rsidRPr="00DF487C">
              <w:rPr>
                <w:rFonts w:ascii="Arial" w:hAnsi="Arial" w:cs="Arial"/>
                <w:bCs/>
                <w:color w:val="000000"/>
                <w:sz w:val="20"/>
                <w:szCs w:val="20"/>
              </w:rPr>
              <w:t>31</w:t>
            </w:r>
          </w:p>
        </w:tc>
        <w:tc>
          <w:tcPr>
            <w:tcW w:w="117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43</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178</w:t>
            </w:r>
          </w:p>
        </w:tc>
        <w:tc>
          <w:tcPr>
            <w:tcW w:w="135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146</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163</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772</w:t>
            </w:r>
          </w:p>
        </w:tc>
      </w:tr>
      <w:tr w:rsidR="008B50C1" w:rsidRPr="00DF487C" w:rsidTr="008B50C1">
        <w:tc>
          <w:tcPr>
            <w:cnfStyle w:val="001000000000" w:firstRow="0" w:lastRow="0" w:firstColumn="1" w:lastColumn="0" w:oddVBand="0" w:evenVBand="0" w:oddHBand="0" w:evenHBand="0" w:firstRowFirstColumn="0" w:firstRowLastColumn="0" w:lastRowFirstColumn="0" w:lastRowLastColumn="0"/>
            <w:tcW w:w="1440" w:type="dxa"/>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GO:0005578</w:t>
            </w:r>
          </w:p>
        </w:tc>
        <w:tc>
          <w:tcPr>
            <w:tcW w:w="2340" w:type="dxa"/>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0"/>
              </w:rPr>
            </w:pPr>
            <w:r w:rsidRPr="00DF487C">
              <w:rPr>
                <w:rFonts w:ascii="Arial" w:hAnsi="Arial" w:cs="Arial"/>
                <w:b/>
                <w:color w:val="000000"/>
                <w:sz w:val="20"/>
                <w:szCs w:val="20"/>
              </w:rPr>
              <w:t>Proteinaceous extracellular matrix</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554</w:t>
            </w:r>
          </w:p>
        </w:tc>
        <w:tc>
          <w:tcPr>
            <w:tcW w:w="81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145</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136</w:t>
            </w:r>
          </w:p>
        </w:tc>
        <w:tc>
          <w:tcPr>
            <w:tcW w:w="135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sz w:val="20"/>
                <w:szCs w:val="20"/>
              </w:rPr>
            </w:pPr>
            <w:r w:rsidRPr="00DF487C">
              <w:rPr>
                <w:rFonts w:ascii="Arial" w:hAnsi="Arial" w:cs="Arial"/>
                <w:bCs/>
                <w:color w:val="000000"/>
                <w:sz w:val="20"/>
                <w:szCs w:val="20"/>
              </w:rPr>
              <w:t>29</w:t>
            </w:r>
          </w:p>
        </w:tc>
        <w:tc>
          <w:tcPr>
            <w:tcW w:w="117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41</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119</w:t>
            </w:r>
          </w:p>
        </w:tc>
        <w:tc>
          <w:tcPr>
            <w:tcW w:w="135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86</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96</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507</w:t>
            </w:r>
          </w:p>
        </w:tc>
      </w:tr>
      <w:tr w:rsidR="008B50C1" w:rsidRPr="00DF487C" w:rsidTr="008B50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GO:0005509</w:t>
            </w:r>
          </w:p>
        </w:tc>
        <w:tc>
          <w:tcPr>
            <w:tcW w:w="2340" w:type="dxa"/>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20"/>
                <w:szCs w:val="20"/>
              </w:rPr>
            </w:pPr>
            <w:r w:rsidRPr="00DF487C">
              <w:rPr>
                <w:rFonts w:ascii="Arial" w:hAnsi="Arial" w:cs="Arial"/>
                <w:b/>
                <w:color w:val="000000"/>
                <w:sz w:val="20"/>
                <w:szCs w:val="20"/>
              </w:rPr>
              <w:t>Calcium ion binding</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979</w:t>
            </w:r>
          </w:p>
        </w:tc>
        <w:tc>
          <w:tcPr>
            <w:tcW w:w="81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236</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101</w:t>
            </w:r>
          </w:p>
        </w:tc>
        <w:tc>
          <w:tcPr>
            <w:tcW w:w="135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7</w:t>
            </w:r>
          </w:p>
        </w:tc>
        <w:tc>
          <w:tcPr>
            <w:tcW w:w="117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36</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0</w:t>
            </w:r>
          </w:p>
        </w:tc>
        <w:tc>
          <w:tcPr>
            <w:tcW w:w="135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9</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158</w:t>
            </w:r>
          </w:p>
        </w:tc>
      </w:tr>
      <w:tr w:rsidR="008B50C1" w:rsidRPr="00DF487C" w:rsidTr="008B50C1">
        <w:tc>
          <w:tcPr>
            <w:cnfStyle w:val="001000000000" w:firstRow="0" w:lastRow="0" w:firstColumn="1" w:lastColumn="0" w:oddVBand="0" w:evenVBand="0" w:oddHBand="0" w:evenHBand="0" w:firstRowFirstColumn="0" w:firstRowLastColumn="0" w:lastRowFirstColumn="0" w:lastRowLastColumn="0"/>
            <w:tcW w:w="1440" w:type="dxa"/>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GO:0008233</w:t>
            </w:r>
          </w:p>
        </w:tc>
        <w:tc>
          <w:tcPr>
            <w:tcW w:w="2340" w:type="dxa"/>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0"/>
              </w:rPr>
            </w:pPr>
            <w:r w:rsidRPr="00DF487C">
              <w:rPr>
                <w:rFonts w:ascii="Arial" w:hAnsi="Arial" w:cs="Arial"/>
                <w:b/>
                <w:color w:val="000000"/>
                <w:sz w:val="20"/>
                <w:szCs w:val="20"/>
              </w:rPr>
              <w:t>Peptidase activity</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574</w:t>
            </w:r>
          </w:p>
        </w:tc>
        <w:tc>
          <w:tcPr>
            <w:tcW w:w="81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199</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50</w:t>
            </w:r>
          </w:p>
        </w:tc>
        <w:tc>
          <w:tcPr>
            <w:tcW w:w="135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w:t>
            </w:r>
          </w:p>
        </w:tc>
        <w:tc>
          <w:tcPr>
            <w:tcW w:w="117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38</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0</w:t>
            </w:r>
          </w:p>
        </w:tc>
        <w:tc>
          <w:tcPr>
            <w:tcW w:w="135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0</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0</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94</w:t>
            </w:r>
          </w:p>
        </w:tc>
      </w:tr>
      <w:tr w:rsidR="008B50C1" w:rsidRPr="00DF487C" w:rsidTr="008B50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GO:0070011</w:t>
            </w:r>
          </w:p>
        </w:tc>
        <w:tc>
          <w:tcPr>
            <w:tcW w:w="2340" w:type="dxa"/>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20"/>
                <w:szCs w:val="20"/>
              </w:rPr>
            </w:pPr>
            <w:r w:rsidRPr="00DF487C">
              <w:rPr>
                <w:rFonts w:ascii="Arial" w:hAnsi="Arial" w:cs="Arial"/>
                <w:b/>
                <w:color w:val="000000"/>
                <w:sz w:val="20"/>
                <w:szCs w:val="20"/>
              </w:rPr>
              <w:t>Peptidase activity, acting on L-amino acid peptides</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20"/>
                <w:szCs w:val="20"/>
              </w:rPr>
            </w:pPr>
            <w:r w:rsidRPr="00DF487C">
              <w:rPr>
                <w:rFonts w:ascii="Arial" w:hAnsi="Arial" w:cs="Arial"/>
                <w:bCs/>
                <w:color w:val="000000"/>
                <w:sz w:val="20"/>
                <w:szCs w:val="20"/>
              </w:rPr>
              <w:t>547</w:t>
            </w:r>
          </w:p>
        </w:tc>
        <w:tc>
          <w:tcPr>
            <w:tcW w:w="81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191</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49</w:t>
            </w:r>
          </w:p>
        </w:tc>
        <w:tc>
          <w:tcPr>
            <w:tcW w:w="135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w:t>
            </w:r>
          </w:p>
        </w:tc>
        <w:tc>
          <w:tcPr>
            <w:tcW w:w="117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39</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0</w:t>
            </w:r>
          </w:p>
        </w:tc>
        <w:tc>
          <w:tcPr>
            <w:tcW w:w="135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0</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0</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93</w:t>
            </w:r>
          </w:p>
        </w:tc>
      </w:tr>
      <w:tr w:rsidR="008B50C1" w:rsidRPr="00DF487C" w:rsidTr="008B50C1">
        <w:tc>
          <w:tcPr>
            <w:cnfStyle w:val="001000000000" w:firstRow="0" w:lastRow="0" w:firstColumn="1" w:lastColumn="0" w:oddVBand="0" w:evenVBand="0" w:oddHBand="0" w:evenHBand="0" w:firstRowFirstColumn="0" w:firstRowLastColumn="0" w:lastRowFirstColumn="0" w:lastRowLastColumn="0"/>
            <w:tcW w:w="1440" w:type="dxa"/>
            <w:vAlign w:val="bottom"/>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NA</w:t>
            </w:r>
          </w:p>
          <w:p w:rsidR="008B50C1" w:rsidRPr="00DF487C" w:rsidRDefault="008B50C1" w:rsidP="008B50C1">
            <w:pPr>
              <w:jc w:val="center"/>
              <w:rPr>
                <w:rFonts w:ascii="Arial" w:hAnsi="Arial" w:cs="Arial"/>
                <w:color w:val="000000"/>
                <w:sz w:val="20"/>
                <w:szCs w:val="20"/>
              </w:rPr>
            </w:pPr>
          </w:p>
        </w:tc>
        <w:tc>
          <w:tcPr>
            <w:tcW w:w="234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0"/>
              </w:rPr>
            </w:pPr>
            <w:r w:rsidRPr="00DF487C">
              <w:rPr>
                <w:rFonts w:ascii="Arial" w:hAnsi="Arial" w:cs="Arial"/>
                <w:b/>
                <w:color w:val="000000"/>
                <w:sz w:val="20"/>
                <w:szCs w:val="20"/>
              </w:rPr>
              <w:t xml:space="preserve">Cumulative, within </w:t>
            </w:r>
          </w:p>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0"/>
              </w:rPr>
            </w:pPr>
            <w:r w:rsidRPr="00DF487C">
              <w:rPr>
                <w:rFonts w:ascii="Arial" w:hAnsi="Arial" w:cs="Arial"/>
                <w:b/>
                <w:color w:val="000000"/>
                <w:sz w:val="20"/>
                <w:szCs w:val="20"/>
              </w:rPr>
              <w:t>26 genomic regulatory networks</w:t>
            </w:r>
          </w:p>
        </w:tc>
        <w:tc>
          <w:tcPr>
            <w:tcW w:w="99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5237</w:t>
            </w:r>
          </w:p>
        </w:tc>
        <w:tc>
          <w:tcPr>
            <w:tcW w:w="81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ND</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173</w:t>
            </w:r>
          </w:p>
        </w:tc>
        <w:tc>
          <w:tcPr>
            <w:tcW w:w="135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21</w:t>
            </w:r>
          </w:p>
        </w:tc>
        <w:tc>
          <w:tcPr>
            <w:tcW w:w="117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37</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8</w:t>
            </w:r>
          </w:p>
        </w:tc>
        <w:tc>
          <w:tcPr>
            <w:tcW w:w="135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68</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68</w:t>
            </w:r>
          </w:p>
        </w:tc>
        <w:tc>
          <w:tcPr>
            <w:tcW w:w="1260" w:type="dxa"/>
            <w:vAlign w:val="bottom"/>
          </w:tcPr>
          <w:p w:rsidR="008B50C1" w:rsidRPr="00DF487C" w:rsidRDefault="008B50C1" w:rsidP="008B50C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375</w:t>
            </w:r>
          </w:p>
        </w:tc>
      </w:tr>
      <w:tr w:rsidR="008B50C1" w:rsidRPr="00DF487C" w:rsidTr="008B50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vAlign w:val="bottom"/>
          </w:tcPr>
          <w:p w:rsidR="008B50C1" w:rsidRPr="00DF487C" w:rsidRDefault="008B50C1" w:rsidP="008B50C1">
            <w:pPr>
              <w:jc w:val="center"/>
              <w:rPr>
                <w:rFonts w:ascii="Arial" w:hAnsi="Arial" w:cs="Arial"/>
                <w:color w:val="000000"/>
                <w:sz w:val="20"/>
                <w:szCs w:val="20"/>
              </w:rPr>
            </w:pPr>
            <w:r w:rsidRPr="00DF487C">
              <w:rPr>
                <w:rFonts w:ascii="Arial" w:hAnsi="Arial" w:cs="Arial"/>
                <w:color w:val="000000"/>
                <w:sz w:val="20"/>
                <w:szCs w:val="20"/>
              </w:rPr>
              <w:t>NA</w:t>
            </w:r>
          </w:p>
          <w:p w:rsidR="008B50C1" w:rsidRPr="00DF487C" w:rsidRDefault="008B50C1" w:rsidP="008B50C1">
            <w:pPr>
              <w:jc w:val="center"/>
              <w:rPr>
                <w:rFonts w:ascii="Arial" w:hAnsi="Arial" w:cs="Arial"/>
                <w:color w:val="000000"/>
                <w:sz w:val="20"/>
                <w:szCs w:val="20"/>
              </w:rPr>
            </w:pPr>
          </w:p>
        </w:tc>
        <w:tc>
          <w:tcPr>
            <w:tcW w:w="234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20"/>
                <w:szCs w:val="20"/>
              </w:rPr>
            </w:pPr>
            <w:r w:rsidRPr="00DF487C">
              <w:rPr>
                <w:rFonts w:ascii="Arial" w:hAnsi="Arial" w:cs="Arial"/>
                <w:b/>
                <w:color w:val="000000"/>
                <w:sz w:val="20"/>
                <w:szCs w:val="20"/>
              </w:rPr>
              <w:t>Cumulative, excluding 26 genomic regulatory networks</w:t>
            </w:r>
          </w:p>
        </w:tc>
        <w:tc>
          <w:tcPr>
            <w:tcW w:w="99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3602</w:t>
            </w:r>
          </w:p>
        </w:tc>
        <w:tc>
          <w:tcPr>
            <w:tcW w:w="81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0</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0</w:t>
            </w:r>
          </w:p>
        </w:tc>
        <w:tc>
          <w:tcPr>
            <w:tcW w:w="135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0</w:t>
            </w:r>
          </w:p>
        </w:tc>
        <w:tc>
          <w:tcPr>
            <w:tcW w:w="117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w:t>
            </w:r>
          </w:p>
        </w:tc>
        <w:tc>
          <w:tcPr>
            <w:tcW w:w="135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0</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0</w:t>
            </w:r>
          </w:p>
        </w:tc>
        <w:tc>
          <w:tcPr>
            <w:tcW w:w="1260" w:type="dxa"/>
            <w:vAlign w:val="bottom"/>
          </w:tcPr>
          <w:p w:rsidR="008B50C1" w:rsidRPr="00DF487C" w:rsidRDefault="008B50C1" w:rsidP="008B50C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w:t>
            </w:r>
          </w:p>
        </w:tc>
      </w:tr>
    </w:tbl>
    <w:p w:rsidR="008B50C1" w:rsidRPr="00DF487C" w:rsidRDefault="008B50C1" w:rsidP="008B50C1">
      <w:pPr>
        <w:spacing w:line="240" w:lineRule="auto"/>
        <w:contextualSpacing/>
        <w:rPr>
          <w:rFonts w:ascii="Arial" w:hAnsi="Arial" w:cs="Arial"/>
          <w:sz w:val="20"/>
          <w:szCs w:val="20"/>
        </w:rPr>
      </w:pPr>
      <w:r w:rsidRPr="00DF487C">
        <w:rPr>
          <w:rFonts w:ascii="Arial" w:hAnsi="Arial" w:cs="Arial"/>
          <w:sz w:val="20"/>
          <w:szCs w:val="20"/>
        </w:rPr>
        <w:t xml:space="preserve">Legend: *, A directed acyclic graph (DAG) test was carried out on the enriched terms from a single ontology-specific table generated by the GREAT algorithm; </w:t>
      </w:r>
    </w:p>
    <w:p w:rsidR="00472C18" w:rsidRDefault="008B50C1" w:rsidP="00DF487C">
      <w:pPr>
        <w:spacing w:line="240" w:lineRule="auto"/>
        <w:contextualSpacing/>
        <w:rPr>
          <w:rFonts w:ascii="Arial" w:hAnsi="Arial" w:cs="Arial"/>
          <w:sz w:val="20"/>
          <w:szCs w:val="20"/>
        </w:rPr>
      </w:pPr>
      <w:r w:rsidRPr="00DF487C">
        <w:rPr>
          <w:rFonts w:ascii="Arial" w:hAnsi="Arial" w:cs="Arial"/>
          <w:sz w:val="20"/>
          <w:szCs w:val="20"/>
        </w:rPr>
        <w:t xml:space="preserve">**, For each GRN, reported numbers of GRMs were determined using a directed acyclic graph (DAG) test applied to 6 independent gene ontology-specific enrichment analyses employing the GREAT algorithm (Supplementary Materials); ***, A total of 26 gene ontology enrichment analyses-defined GRNs associated with human embryo </w:t>
      </w:r>
      <w:r w:rsidR="002F5992">
        <w:rPr>
          <w:rFonts w:ascii="Arial" w:hAnsi="Arial" w:cs="Arial"/>
          <w:sz w:val="20"/>
          <w:szCs w:val="20"/>
        </w:rPr>
        <w:t>regulatory LTR</w:t>
      </w:r>
      <w:r w:rsidRPr="00DF487C">
        <w:rPr>
          <w:rFonts w:ascii="Arial" w:hAnsi="Arial" w:cs="Arial"/>
          <w:sz w:val="20"/>
          <w:szCs w:val="20"/>
        </w:rPr>
        <w:t xml:space="preserve">s were identified at the statistical significance threshold of the Binominal FDR Q-value &lt; 0.05 (Supplementary Table S1). GRNs contain from 529 to 1486 </w:t>
      </w:r>
      <w:r w:rsidR="002F5992">
        <w:rPr>
          <w:rFonts w:ascii="Arial" w:hAnsi="Arial" w:cs="Arial"/>
          <w:sz w:val="20"/>
          <w:szCs w:val="20"/>
        </w:rPr>
        <w:t>regulatory LTR</w:t>
      </w:r>
      <w:r w:rsidRPr="00DF487C">
        <w:rPr>
          <w:rFonts w:ascii="Arial" w:hAnsi="Arial" w:cs="Arial"/>
          <w:sz w:val="20"/>
          <w:szCs w:val="20"/>
        </w:rPr>
        <w:t xml:space="preserve"> elements and from 199 to 805 down-stream target genes.</w:t>
      </w:r>
    </w:p>
    <w:p w:rsidR="00DF487C" w:rsidRPr="00DF487C" w:rsidRDefault="00DF487C" w:rsidP="00DF487C">
      <w:pPr>
        <w:spacing w:line="240" w:lineRule="auto"/>
        <w:contextualSpacing/>
        <w:rPr>
          <w:rFonts w:ascii="Arial" w:hAnsi="Arial" w:cs="Arial"/>
          <w:sz w:val="20"/>
          <w:szCs w:val="20"/>
        </w:rPr>
      </w:pPr>
    </w:p>
    <w:p w:rsidR="006A1611" w:rsidRPr="0044518F" w:rsidRDefault="006A1611" w:rsidP="00F30743">
      <w:pPr>
        <w:autoSpaceDE w:val="0"/>
        <w:autoSpaceDN w:val="0"/>
        <w:adjustRightInd w:val="0"/>
        <w:spacing w:after="0" w:line="240" w:lineRule="auto"/>
        <w:rPr>
          <w:rFonts w:ascii="Arial" w:hAnsi="Arial" w:cs="Arial"/>
          <w:b/>
        </w:rPr>
      </w:pPr>
    </w:p>
    <w:sectPr w:rsidR="006A1611" w:rsidRPr="0044518F" w:rsidSect="008B50C1">
      <w:pgSz w:w="15840" w:h="12240" w:orient="landscape"/>
      <w:pgMar w:top="720" w:right="720" w:bottom="720" w:left="72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C2B8B" w:rsidRDefault="006C2B8B" w:rsidP="00E20E4F">
      <w:pPr>
        <w:spacing w:after="0" w:line="240" w:lineRule="auto"/>
      </w:pPr>
      <w:r>
        <w:separator/>
      </w:r>
    </w:p>
  </w:endnote>
  <w:endnote w:type="continuationSeparator" w:id="0">
    <w:p w:rsidR="006C2B8B" w:rsidRDefault="006C2B8B" w:rsidP="00E20E4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71EB1" w:rsidRDefault="00A71EB1">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84063173"/>
      <w:docPartObj>
        <w:docPartGallery w:val="Page Numbers (Bottom of Page)"/>
        <w:docPartUnique/>
      </w:docPartObj>
    </w:sdtPr>
    <w:sdtEndPr>
      <w:rPr>
        <w:noProof/>
      </w:rPr>
    </w:sdtEndPr>
    <w:sdtContent>
      <w:p w:rsidR="00A71EB1" w:rsidRDefault="00A71EB1">
        <w:pPr>
          <w:pStyle w:val="Footer"/>
          <w:jc w:val="right"/>
        </w:pPr>
        <w:r>
          <w:fldChar w:fldCharType="begin"/>
        </w:r>
        <w:r>
          <w:instrText xml:space="preserve"> PAGE   \* MERGEFORMAT </w:instrText>
        </w:r>
        <w:r>
          <w:fldChar w:fldCharType="separate"/>
        </w:r>
        <w:r w:rsidR="0017119F">
          <w:rPr>
            <w:noProof/>
          </w:rPr>
          <w:t>20</w:t>
        </w:r>
        <w:r>
          <w:rPr>
            <w:noProof/>
          </w:rPr>
          <w:fldChar w:fldCharType="end"/>
        </w:r>
      </w:p>
    </w:sdtContent>
  </w:sdt>
  <w:p w:rsidR="00A71EB1" w:rsidRDefault="00A71EB1">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71EB1" w:rsidRDefault="00A71EB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C2B8B" w:rsidRDefault="006C2B8B" w:rsidP="00E20E4F">
      <w:pPr>
        <w:spacing w:after="0" w:line="240" w:lineRule="auto"/>
      </w:pPr>
      <w:r>
        <w:separator/>
      </w:r>
    </w:p>
  </w:footnote>
  <w:footnote w:type="continuationSeparator" w:id="0">
    <w:p w:rsidR="006C2B8B" w:rsidRDefault="006C2B8B" w:rsidP="00E20E4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71EB1" w:rsidRDefault="00A71EB1">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71EB1" w:rsidRDefault="00A71EB1">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71EB1" w:rsidRDefault="00A71EB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1FA22DF"/>
    <w:multiLevelType w:val="hybridMultilevel"/>
    <w:tmpl w:val="0DE44B92"/>
    <w:lvl w:ilvl="0" w:tplc="CEFE822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F63B4"/>
    <w:rsid w:val="000002DA"/>
    <w:rsid w:val="0000087D"/>
    <w:rsid w:val="000048E2"/>
    <w:rsid w:val="00006FB0"/>
    <w:rsid w:val="00007A52"/>
    <w:rsid w:val="000127E6"/>
    <w:rsid w:val="000149AB"/>
    <w:rsid w:val="000170AE"/>
    <w:rsid w:val="0002291A"/>
    <w:rsid w:val="00030F22"/>
    <w:rsid w:val="000323C6"/>
    <w:rsid w:val="00033C20"/>
    <w:rsid w:val="000353EE"/>
    <w:rsid w:val="00037720"/>
    <w:rsid w:val="00037751"/>
    <w:rsid w:val="00037782"/>
    <w:rsid w:val="00042B24"/>
    <w:rsid w:val="000446B9"/>
    <w:rsid w:val="00045270"/>
    <w:rsid w:val="00045AF1"/>
    <w:rsid w:val="00047DF0"/>
    <w:rsid w:val="00053BBC"/>
    <w:rsid w:val="000562BC"/>
    <w:rsid w:val="000638D2"/>
    <w:rsid w:val="000659A2"/>
    <w:rsid w:val="0007081F"/>
    <w:rsid w:val="00070950"/>
    <w:rsid w:val="00075490"/>
    <w:rsid w:val="00076C2E"/>
    <w:rsid w:val="00077633"/>
    <w:rsid w:val="00087AA0"/>
    <w:rsid w:val="000928F5"/>
    <w:rsid w:val="00092EDF"/>
    <w:rsid w:val="0009632E"/>
    <w:rsid w:val="000A0C68"/>
    <w:rsid w:val="000A1EAE"/>
    <w:rsid w:val="000A2FFB"/>
    <w:rsid w:val="000A3705"/>
    <w:rsid w:val="000A4AFD"/>
    <w:rsid w:val="000A4FC1"/>
    <w:rsid w:val="000A50D6"/>
    <w:rsid w:val="000A614E"/>
    <w:rsid w:val="000A6B87"/>
    <w:rsid w:val="000B12AD"/>
    <w:rsid w:val="000B2874"/>
    <w:rsid w:val="000B318D"/>
    <w:rsid w:val="000B4A50"/>
    <w:rsid w:val="000C02BD"/>
    <w:rsid w:val="000C13B7"/>
    <w:rsid w:val="000C159B"/>
    <w:rsid w:val="000C1826"/>
    <w:rsid w:val="000C1B86"/>
    <w:rsid w:val="000C2954"/>
    <w:rsid w:val="000C4A92"/>
    <w:rsid w:val="000C6172"/>
    <w:rsid w:val="000C6616"/>
    <w:rsid w:val="000D0A25"/>
    <w:rsid w:val="000D12D5"/>
    <w:rsid w:val="000D2A1E"/>
    <w:rsid w:val="000D533F"/>
    <w:rsid w:val="000D625C"/>
    <w:rsid w:val="000D668A"/>
    <w:rsid w:val="000E093D"/>
    <w:rsid w:val="000E37F7"/>
    <w:rsid w:val="000E5C58"/>
    <w:rsid w:val="000E6574"/>
    <w:rsid w:val="000E711F"/>
    <w:rsid w:val="000E720A"/>
    <w:rsid w:val="000E7686"/>
    <w:rsid w:val="000F0BBA"/>
    <w:rsid w:val="000F2348"/>
    <w:rsid w:val="000F43A9"/>
    <w:rsid w:val="000F6A18"/>
    <w:rsid w:val="000F6C8B"/>
    <w:rsid w:val="00100702"/>
    <w:rsid w:val="00100FE1"/>
    <w:rsid w:val="001010C4"/>
    <w:rsid w:val="00106AD4"/>
    <w:rsid w:val="00107F60"/>
    <w:rsid w:val="0011221D"/>
    <w:rsid w:val="00112289"/>
    <w:rsid w:val="0011282A"/>
    <w:rsid w:val="00113180"/>
    <w:rsid w:val="001145C5"/>
    <w:rsid w:val="00115076"/>
    <w:rsid w:val="001163B1"/>
    <w:rsid w:val="00116704"/>
    <w:rsid w:val="00116A0F"/>
    <w:rsid w:val="00122869"/>
    <w:rsid w:val="001234ED"/>
    <w:rsid w:val="00127EB6"/>
    <w:rsid w:val="0013005B"/>
    <w:rsid w:val="00130CE4"/>
    <w:rsid w:val="001319A2"/>
    <w:rsid w:val="001324D7"/>
    <w:rsid w:val="001415F7"/>
    <w:rsid w:val="001419D9"/>
    <w:rsid w:val="00142568"/>
    <w:rsid w:val="00143C92"/>
    <w:rsid w:val="001455A0"/>
    <w:rsid w:val="001549D0"/>
    <w:rsid w:val="001561CF"/>
    <w:rsid w:val="00157DC9"/>
    <w:rsid w:val="001612AC"/>
    <w:rsid w:val="001636B3"/>
    <w:rsid w:val="001663A2"/>
    <w:rsid w:val="00167CF3"/>
    <w:rsid w:val="00170773"/>
    <w:rsid w:val="0017119F"/>
    <w:rsid w:val="0017634A"/>
    <w:rsid w:val="001768C5"/>
    <w:rsid w:val="00176F41"/>
    <w:rsid w:val="001816AB"/>
    <w:rsid w:val="00181EF1"/>
    <w:rsid w:val="00182EA1"/>
    <w:rsid w:val="00184C68"/>
    <w:rsid w:val="0018514D"/>
    <w:rsid w:val="00185346"/>
    <w:rsid w:val="0018538C"/>
    <w:rsid w:val="001866F8"/>
    <w:rsid w:val="00187527"/>
    <w:rsid w:val="00187E77"/>
    <w:rsid w:val="00190150"/>
    <w:rsid w:val="001913EC"/>
    <w:rsid w:val="00195A9A"/>
    <w:rsid w:val="00196659"/>
    <w:rsid w:val="001A0A8E"/>
    <w:rsid w:val="001A62AD"/>
    <w:rsid w:val="001B0C94"/>
    <w:rsid w:val="001C0263"/>
    <w:rsid w:val="001C238F"/>
    <w:rsid w:val="001C568C"/>
    <w:rsid w:val="001D1218"/>
    <w:rsid w:val="001D4562"/>
    <w:rsid w:val="001D7695"/>
    <w:rsid w:val="001E07C6"/>
    <w:rsid w:val="001E21A1"/>
    <w:rsid w:val="001E2B7F"/>
    <w:rsid w:val="001E3E0C"/>
    <w:rsid w:val="001E66DF"/>
    <w:rsid w:val="001F0240"/>
    <w:rsid w:val="001F1D1E"/>
    <w:rsid w:val="001F25C3"/>
    <w:rsid w:val="001F4EA4"/>
    <w:rsid w:val="001F6A6C"/>
    <w:rsid w:val="001F7FB3"/>
    <w:rsid w:val="002005B0"/>
    <w:rsid w:val="0020218B"/>
    <w:rsid w:val="00204A53"/>
    <w:rsid w:val="002056C3"/>
    <w:rsid w:val="002058A9"/>
    <w:rsid w:val="00206BA6"/>
    <w:rsid w:val="00210200"/>
    <w:rsid w:val="0021076C"/>
    <w:rsid w:val="002136C9"/>
    <w:rsid w:val="00213BBD"/>
    <w:rsid w:val="00215037"/>
    <w:rsid w:val="002216B8"/>
    <w:rsid w:val="00223FCC"/>
    <w:rsid w:val="00226C00"/>
    <w:rsid w:val="00231CCE"/>
    <w:rsid w:val="00235C79"/>
    <w:rsid w:val="0023671E"/>
    <w:rsid w:val="00237427"/>
    <w:rsid w:val="00240B61"/>
    <w:rsid w:val="00242BA1"/>
    <w:rsid w:val="0024415E"/>
    <w:rsid w:val="00244F29"/>
    <w:rsid w:val="00251585"/>
    <w:rsid w:val="0025598C"/>
    <w:rsid w:val="002573C7"/>
    <w:rsid w:val="002672BE"/>
    <w:rsid w:val="002677EE"/>
    <w:rsid w:val="002741DF"/>
    <w:rsid w:val="002805AF"/>
    <w:rsid w:val="0028151A"/>
    <w:rsid w:val="00282085"/>
    <w:rsid w:val="00285455"/>
    <w:rsid w:val="002856A6"/>
    <w:rsid w:val="00286129"/>
    <w:rsid w:val="00291B96"/>
    <w:rsid w:val="00291D66"/>
    <w:rsid w:val="00293E1C"/>
    <w:rsid w:val="0029530A"/>
    <w:rsid w:val="00295642"/>
    <w:rsid w:val="00295672"/>
    <w:rsid w:val="002A02F7"/>
    <w:rsid w:val="002A0531"/>
    <w:rsid w:val="002A18BB"/>
    <w:rsid w:val="002A5E50"/>
    <w:rsid w:val="002A757B"/>
    <w:rsid w:val="002A7D92"/>
    <w:rsid w:val="002B0A0E"/>
    <w:rsid w:val="002B3FAF"/>
    <w:rsid w:val="002B7A0E"/>
    <w:rsid w:val="002C06E4"/>
    <w:rsid w:val="002C2071"/>
    <w:rsid w:val="002C252B"/>
    <w:rsid w:val="002C25AF"/>
    <w:rsid w:val="002C2CD7"/>
    <w:rsid w:val="002C3C37"/>
    <w:rsid w:val="002D06E1"/>
    <w:rsid w:val="002D0B2B"/>
    <w:rsid w:val="002D21B1"/>
    <w:rsid w:val="002D2995"/>
    <w:rsid w:val="002D363D"/>
    <w:rsid w:val="002D6043"/>
    <w:rsid w:val="002D65B4"/>
    <w:rsid w:val="002E0A19"/>
    <w:rsid w:val="002E4A69"/>
    <w:rsid w:val="002E5E08"/>
    <w:rsid w:val="002F30F8"/>
    <w:rsid w:val="002F48AE"/>
    <w:rsid w:val="002F5992"/>
    <w:rsid w:val="002F5BCA"/>
    <w:rsid w:val="002F63B4"/>
    <w:rsid w:val="0030077E"/>
    <w:rsid w:val="003041F3"/>
    <w:rsid w:val="003102D3"/>
    <w:rsid w:val="00313339"/>
    <w:rsid w:val="00314FAA"/>
    <w:rsid w:val="0031667D"/>
    <w:rsid w:val="00317ACA"/>
    <w:rsid w:val="003201AD"/>
    <w:rsid w:val="003203DE"/>
    <w:rsid w:val="00323AFF"/>
    <w:rsid w:val="00326C8B"/>
    <w:rsid w:val="003271D1"/>
    <w:rsid w:val="0033237F"/>
    <w:rsid w:val="00332EDB"/>
    <w:rsid w:val="00333203"/>
    <w:rsid w:val="00340EF0"/>
    <w:rsid w:val="003446EE"/>
    <w:rsid w:val="0034518F"/>
    <w:rsid w:val="003549A8"/>
    <w:rsid w:val="00356842"/>
    <w:rsid w:val="00364398"/>
    <w:rsid w:val="0036741A"/>
    <w:rsid w:val="00370A26"/>
    <w:rsid w:val="00372253"/>
    <w:rsid w:val="00375CA0"/>
    <w:rsid w:val="00375EE9"/>
    <w:rsid w:val="00376108"/>
    <w:rsid w:val="00377A81"/>
    <w:rsid w:val="00385BD1"/>
    <w:rsid w:val="003864CE"/>
    <w:rsid w:val="00390220"/>
    <w:rsid w:val="00392C1F"/>
    <w:rsid w:val="00397117"/>
    <w:rsid w:val="003A34A0"/>
    <w:rsid w:val="003A3A70"/>
    <w:rsid w:val="003A516B"/>
    <w:rsid w:val="003B121D"/>
    <w:rsid w:val="003B4282"/>
    <w:rsid w:val="003B47C8"/>
    <w:rsid w:val="003B4F2E"/>
    <w:rsid w:val="003B5859"/>
    <w:rsid w:val="003C10C1"/>
    <w:rsid w:val="003C1EB3"/>
    <w:rsid w:val="003C1FA2"/>
    <w:rsid w:val="003C1FC8"/>
    <w:rsid w:val="003C48D8"/>
    <w:rsid w:val="003C53E0"/>
    <w:rsid w:val="003C5CFA"/>
    <w:rsid w:val="003D036C"/>
    <w:rsid w:val="003D34AC"/>
    <w:rsid w:val="003D3BE5"/>
    <w:rsid w:val="003D64CE"/>
    <w:rsid w:val="003E04CB"/>
    <w:rsid w:val="003E2008"/>
    <w:rsid w:val="003E2AD2"/>
    <w:rsid w:val="003E2B3A"/>
    <w:rsid w:val="003E426A"/>
    <w:rsid w:val="003E622F"/>
    <w:rsid w:val="003F0EBE"/>
    <w:rsid w:val="003F1B94"/>
    <w:rsid w:val="003F3E05"/>
    <w:rsid w:val="003F460D"/>
    <w:rsid w:val="003F61D4"/>
    <w:rsid w:val="0040035F"/>
    <w:rsid w:val="00407656"/>
    <w:rsid w:val="00407C6F"/>
    <w:rsid w:val="004111DC"/>
    <w:rsid w:val="00415C01"/>
    <w:rsid w:val="0042161F"/>
    <w:rsid w:val="004217EE"/>
    <w:rsid w:val="00423533"/>
    <w:rsid w:val="004236CE"/>
    <w:rsid w:val="0042528D"/>
    <w:rsid w:val="0042733A"/>
    <w:rsid w:val="0043000B"/>
    <w:rsid w:val="00430932"/>
    <w:rsid w:val="0043426C"/>
    <w:rsid w:val="00434DAF"/>
    <w:rsid w:val="0043779B"/>
    <w:rsid w:val="00440498"/>
    <w:rsid w:val="0044518F"/>
    <w:rsid w:val="00445ABC"/>
    <w:rsid w:val="0044634F"/>
    <w:rsid w:val="0044662C"/>
    <w:rsid w:val="0044787E"/>
    <w:rsid w:val="004505B7"/>
    <w:rsid w:val="00454254"/>
    <w:rsid w:val="00454CF9"/>
    <w:rsid w:val="004551AE"/>
    <w:rsid w:val="004552DA"/>
    <w:rsid w:val="00455A0E"/>
    <w:rsid w:val="004567E3"/>
    <w:rsid w:val="0046067F"/>
    <w:rsid w:val="00461467"/>
    <w:rsid w:val="00461A1B"/>
    <w:rsid w:val="00461E1F"/>
    <w:rsid w:val="00462696"/>
    <w:rsid w:val="00463D86"/>
    <w:rsid w:val="00464446"/>
    <w:rsid w:val="00466B26"/>
    <w:rsid w:val="0047126B"/>
    <w:rsid w:val="00471987"/>
    <w:rsid w:val="00472C18"/>
    <w:rsid w:val="00473DA4"/>
    <w:rsid w:val="0047603B"/>
    <w:rsid w:val="00477CC7"/>
    <w:rsid w:val="00480D8D"/>
    <w:rsid w:val="00482720"/>
    <w:rsid w:val="00482C1C"/>
    <w:rsid w:val="004838EA"/>
    <w:rsid w:val="0048611C"/>
    <w:rsid w:val="004878BC"/>
    <w:rsid w:val="00487E98"/>
    <w:rsid w:val="004944C8"/>
    <w:rsid w:val="00494CAA"/>
    <w:rsid w:val="004961EC"/>
    <w:rsid w:val="004962C2"/>
    <w:rsid w:val="004972DE"/>
    <w:rsid w:val="004A148B"/>
    <w:rsid w:val="004A2050"/>
    <w:rsid w:val="004A3170"/>
    <w:rsid w:val="004A62F6"/>
    <w:rsid w:val="004A6DA0"/>
    <w:rsid w:val="004A6FBC"/>
    <w:rsid w:val="004B0E06"/>
    <w:rsid w:val="004B490F"/>
    <w:rsid w:val="004B69A4"/>
    <w:rsid w:val="004B7D3E"/>
    <w:rsid w:val="004C09CF"/>
    <w:rsid w:val="004C0C3A"/>
    <w:rsid w:val="004C480D"/>
    <w:rsid w:val="004C5380"/>
    <w:rsid w:val="004D427F"/>
    <w:rsid w:val="004D4C8C"/>
    <w:rsid w:val="004D638F"/>
    <w:rsid w:val="004D6550"/>
    <w:rsid w:val="004E11CD"/>
    <w:rsid w:val="004E21C7"/>
    <w:rsid w:val="004E764D"/>
    <w:rsid w:val="004F1138"/>
    <w:rsid w:val="004F1B5D"/>
    <w:rsid w:val="004F1C5C"/>
    <w:rsid w:val="004F3826"/>
    <w:rsid w:val="004F3D53"/>
    <w:rsid w:val="004F3DF7"/>
    <w:rsid w:val="005017AC"/>
    <w:rsid w:val="0050475F"/>
    <w:rsid w:val="00506718"/>
    <w:rsid w:val="00507A09"/>
    <w:rsid w:val="005150FE"/>
    <w:rsid w:val="00516D2B"/>
    <w:rsid w:val="0052159A"/>
    <w:rsid w:val="00531140"/>
    <w:rsid w:val="00531701"/>
    <w:rsid w:val="00533608"/>
    <w:rsid w:val="00534686"/>
    <w:rsid w:val="00534954"/>
    <w:rsid w:val="00534CB4"/>
    <w:rsid w:val="005351C9"/>
    <w:rsid w:val="005352CF"/>
    <w:rsid w:val="00535316"/>
    <w:rsid w:val="0053629C"/>
    <w:rsid w:val="00537DEC"/>
    <w:rsid w:val="00540B4C"/>
    <w:rsid w:val="00542303"/>
    <w:rsid w:val="00544031"/>
    <w:rsid w:val="005466B9"/>
    <w:rsid w:val="00547B59"/>
    <w:rsid w:val="005501F5"/>
    <w:rsid w:val="0055568E"/>
    <w:rsid w:val="00555AB8"/>
    <w:rsid w:val="00555BDE"/>
    <w:rsid w:val="00556C89"/>
    <w:rsid w:val="00556DB6"/>
    <w:rsid w:val="005571EB"/>
    <w:rsid w:val="00565710"/>
    <w:rsid w:val="005673BE"/>
    <w:rsid w:val="00567BF4"/>
    <w:rsid w:val="00570F78"/>
    <w:rsid w:val="005760B7"/>
    <w:rsid w:val="00576B29"/>
    <w:rsid w:val="00576B44"/>
    <w:rsid w:val="00576FAD"/>
    <w:rsid w:val="00577119"/>
    <w:rsid w:val="00577655"/>
    <w:rsid w:val="00584EAB"/>
    <w:rsid w:val="005909A0"/>
    <w:rsid w:val="00591898"/>
    <w:rsid w:val="00594F36"/>
    <w:rsid w:val="005A1F34"/>
    <w:rsid w:val="005A40F5"/>
    <w:rsid w:val="005A4FBF"/>
    <w:rsid w:val="005A53AF"/>
    <w:rsid w:val="005A72FC"/>
    <w:rsid w:val="005B005D"/>
    <w:rsid w:val="005B04C4"/>
    <w:rsid w:val="005B104D"/>
    <w:rsid w:val="005B3592"/>
    <w:rsid w:val="005B3EE3"/>
    <w:rsid w:val="005B590F"/>
    <w:rsid w:val="005C0E12"/>
    <w:rsid w:val="005C1110"/>
    <w:rsid w:val="005C26FB"/>
    <w:rsid w:val="005C4EBE"/>
    <w:rsid w:val="005D6BF0"/>
    <w:rsid w:val="005E0F7D"/>
    <w:rsid w:val="005E1212"/>
    <w:rsid w:val="005E1C9C"/>
    <w:rsid w:val="005E305B"/>
    <w:rsid w:val="005E5D5E"/>
    <w:rsid w:val="005E60DB"/>
    <w:rsid w:val="005E62A9"/>
    <w:rsid w:val="005E757B"/>
    <w:rsid w:val="005F25BE"/>
    <w:rsid w:val="005F32A5"/>
    <w:rsid w:val="006065DA"/>
    <w:rsid w:val="00611573"/>
    <w:rsid w:val="00616D9A"/>
    <w:rsid w:val="00621842"/>
    <w:rsid w:val="00622A00"/>
    <w:rsid w:val="00622E88"/>
    <w:rsid w:val="00627011"/>
    <w:rsid w:val="0063079F"/>
    <w:rsid w:val="00631B6F"/>
    <w:rsid w:val="006331B6"/>
    <w:rsid w:val="006344D1"/>
    <w:rsid w:val="00634D94"/>
    <w:rsid w:val="00637E64"/>
    <w:rsid w:val="0064034F"/>
    <w:rsid w:val="00641328"/>
    <w:rsid w:val="00645F30"/>
    <w:rsid w:val="00646AF7"/>
    <w:rsid w:val="006520DC"/>
    <w:rsid w:val="00653A59"/>
    <w:rsid w:val="006557BF"/>
    <w:rsid w:val="00663F81"/>
    <w:rsid w:val="00667F2A"/>
    <w:rsid w:val="00671C1D"/>
    <w:rsid w:val="00671DEF"/>
    <w:rsid w:val="00672F39"/>
    <w:rsid w:val="006735F5"/>
    <w:rsid w:val="00674A98"/>
    <w:rsid w:val="00676801"/>
    <w:rsid w:val="006772F1"/>
    <w:rsid w:val="006800F0"/>
    <w:rsid w:val="00681B80"/>
    <w:rsid w:val="00683A8A"/>
    <w:rsid w:val="00684569"/>
    <w:rsid w:val="0068757A"/>
    <w:rsid w:val="00690BAA"/>
    <w:rsid w:val="006952B1"/>
    <w:rsid w:val="0069537B"/>
    <w:rsid w:val="006A1611"/>
    <w:rsid w:val="006A181F"/>
    <w:rsid w:val="006A76EA"/>
    <w:rsid w:val="006A7F75"/>
    <w:rsid w:val="006B2592"/>
    <w:rsid w:val="006B4B08"/>
    <w:rsid w:val="006B6B30"/>
    <w:rsid w:val="006B7D2B"/>
    <w:rsid w:val="006C2B8B"/>
    <w:rsid w:val="006C4911"/>
    <w:rsid w:val="006D09D3"/>
    <w:rsid w:val="006D1832"/>
    <w:rsid w:val="006D1A91"/>
    <w:rsid w:val="006E13A2"/>
    <w:rsid w:val="006F50A1"/>
    <w:rsid w:val="006F51FA"/>
    <w:rsid w:val="006F68BC"/>
    <w:rsid w:val="006F6E4B"/>
    <w:rsid w:val="006F7C7C"/>
    <w:rsid w:val="006F7D91"/>
    <w:rsid w:val="00702E21"/>
    <w:rsid w:val="00704849"/>
    <w:rsid w:val="00711F87"/>
    <w:rsid w:val="007135EB"/>
    <w:rsid w:val="0071371F"/>
    <w:rsid w:val="00715133"/>
    <w:rsid w:val="0071744C"/>
    <w:rsid w:val="00717719"/>
    <w:rsid w:val="00720BCF"/>
    <w:rsid w:val="0072144C"/>
    <w:rsid w:val="00721E65"/>
    <w:rsid w:val="00723BE1"/>
    <w:rsid w:val="00727687"/>
    <w:rsid w:val="007278C4"/>
    <w:rsid w:val="0073572D"/>
    <w:rsid w:val="007375BB"/>
    <w:rsid w:val="007411C9"/>
    <w:rsid w:val="00741B60"/>
    <w:rsid w:val="007420B2"/>
    <w:rsid w:val="007434A9"/>
    <w:rsid w:val="00746563"/>
    <w:rsid w:val="00747CB4"/>
    <w:rsid w:val="00747D2D"/>
    <w:rsid w:val="00752A73"/>
    <w:rsid w:val="0075582A"/>
    <w:rsid w:val="007558CD"/>
    <w:rsid w:val="00757A3D"/>
    <w:rsid w:val="00761091"/>
    <w:rsid w:val="00761926"/>
    <w:rsid w:val="007634A8"/>
    <w:rsid w:val="007639F3"/>
    <w:rsid w:val="00765046"/>
    <w:rsid w:val="0076523F"/>
    <w:rsid w:val="00765CCE"/>
    <w:rsid w:val="007721E1"/>
    <w:rsid w:val="00774B99"/>
    <w:rsid w:val="00775BD4"/>
    <w:rsid w:val="007761C1"/>
    <w:rsid w:val="00776DA4"/>
    <w:rsid w:val="007817B8"/>
    <w:rsid w:val="00784171"/>
    <w:rsid w:val="007868B1"/>
    <w:rsid w:val="00786E31"/>
    <w:rsid w:val="00790508"/>
    <w:rsid w:val="007921A3"/>
    <w:rsid w:val="00793034"/>
    <w:rsid w:val="00795577"/>
    <w:rsid w:val="0079649C"/>
    <w:rsid w:val="007A058E"/>
    <w:rsid w:val="007A3556"/>
    <w:rsid w:val="007A361B"/>
    <w:rsid w:val="007A3688"/>
    <w:rsid w:val="007A3914"/>
    <w:rsid w:val="007A4D68"/>
    <w:rsid w:val="007A540B"/>
    <w:rsid w:val="007A5DCB"/>
    <w:rsid w:val="007B72B7"/>
    <w:rsid w:val="007B7516"/>
    <w:rsid w:val="007C4D67"/>
    <w:rsid w:val="007D12F4"/>
    <w:rsid w:val="007D3772"/>
    <w:rsid w:val="007D43C3"/>
    <w:rsid w:val="007D74AD"/>
    <w:rsid w:val="007E0201"/>
    <w:rsid w:val="007E06A6"/>
    <w:rsid w:val="007E0A12"/>
    <w:rsid w:val="007E0E11"/>
    <w:rsid w:val="007E1AFA"/>
    <w:rsid w:val="007E2516"/>
    <w:rsid w:val="007E277A"/>
    <w:rsid w:val="007E720E"/>
    <w:rsid w:val="007E7D51"/>
    <w:rsid w:val="007F1645"/>
    <w:rsid w:val="007F17C6"/>
    <w:rsid w:val="007F5EF3"/>
    <w:rsid w:val="007F5F98"/>
    <w:rsid w:val="0080574C"/>
    <w:rsid w:val="008059DD"/>
    <w:rsid w:val="00810E8D"/>
    <w:rsid w:val="0081126E"/>
    <w:rsid w:val="00817198"/>
    <w:rsid w:val="0081720F"/>
    <w:rsid w:val="00817AFE"/>
    <w:rsid w:val="00822210"/>
    <w:rsid w:val="00824167"/>
    <w:rsid w:val="0082430F"/>
    <w:rsid w:val="00825682"/>
    <w:rsid w:val="00827994"/>
    <w:rsid w:val="0083180C"/>
    <w:rsid w:val="00834BB1"/>
    <w:rsid w:val="00843437"/>
    <w:rsid w:val="00847249"/>
    <w:rsid w:val="0084774A"/>
    <w:rsid w:val="00852A42"/>
    <w:rsid w:val="00852B9B"/>
    <w:rsid w:val="00852FC0"/>
    <w:rsid w:val="0085789A"/>
    <w:rsid w:val="00861682"/>
    <w:rsid w:val="008631FC"/>
    <w:rsid w:val="00866FAE"/>
    <w:rsid w:val="00873982"/>
    <w:rsid w:val="00876123"/>
    <w:rsid w:val="00881F71"/>
    <w:rsid w:val="00884B65"/>
    <w:rsid w:val="008873E1"/>
    <w:rsid w:val="00890D20"/>
    <w:rsid w:val="00894AB9"/>
    <w:rsid w:val="0089605A"/>
    <w:rsid w:val="008A1593"/>
    <w:rsid w:val="008A2CE1"/>
    <w:rsid w:val="008B06B2"/>
    <w:rsid w:val="008B16ED"/>
    <w:rsid w:val="008B4D63"/>
    <w:rsid w:val="008B50C1"/>
    <w:rsid w:val="008B743A"/>
    <w:rsid w:val="008B7930"/>
    <w:rsid w:val="008C1592"/>
    <w:rsid w:val="008C2F99"/>
    <w:rsid w:val="008C365D"/>
    <w:rsid w:val="008C6240"/>
    <w:rsid w:val="008C7C86"/>
    <w:rsid w:val="008D052E"/>
    <w:rsid w:val="008D0D23"/>
    <w:rsid w:val="008D108D"/>
    <w:rsid w:val="008D3F74"/>
    <w:rsid w:val="008D480A"/>
    <w:rsid w:val="008D4F18"/>
    <w:rsid w:val="008D6A61"/>
    <w:rsid w:val="008E02A2"/>
    <w:rsid w:val="008E134F"/>
    <w:rsid w:val="008E1D0D"/>
    <w:rsid w:val="008E52D8"/>
    <w:rsid w:val="008F07AD"/>
    <w:rsid w:val="008F2F5A"/>
    <w:rsid w:val="008F32BC"/>
    <w:rsid w:val="008F38B1"/>
    <w:rsid w:val="00900CBE"/>
    <w:rsid w:val="009054F6"/>
    <w:rsid w:val="009065DF"/>
    <w:rsid w:val="009068D1"/>
    <w:rsid w:val="0090734A"/>
    <w:rsid w:val="00910A28"/>
    <w:rsid w:val="00910CBF"/>
    <w:rsid w:val="009131D2"/>
    <w:rsid w:val="00913E5C"/>
    <w:rsid w:val="00921527"/>
    <w:rsid w:val="00923525"/>
    <w:rsid w:val="00926B4D"/>
    <w:rsid w:val="009273CB"/>
    <w:rsid w:val="00930476"/>
    <w:rsid w:val="00930E64"/>
    <w:rsid w:val="00931372"/>
    <w:rsid w:val="009315F5"/>
    <w:rsid w:val="00933935"/>
    <w:rsid w:val="009346A7"/>
    <w:rsid w:val="00935C33"/>
    <w:rsid w:val="009400C3"/>
    <w:rsid w:val="009461A0"/>
    <w:rsid w:val="0095081B"/>
    <w:rsid w:val="00951336"/>
    <w:rsid w:val="00952BCA"/>
    <w:rsid w:val="00960D9D"/>
    <w:rsid w:val="00960ED7"/>
    <w:rsid w:val="0096490B"/>
    <w:rsid w:val="00965D62"/>
    <w:rsid w:val="00966920"/>
    <w:rsid w:val="00967468"/>
    <w:rsid w:val="009712B5"/>
    <w:rsid w:val="00980648"/>
    <w:rsid w:val="00981107"/>
    <w:rsid w:val="00983100"/>
    <w:rsid w:val="00985F0A"/>
    <w:rsid w:val="0098665E"/>
    <w:rsid w:val="00986B7A"/>
    <w:rsid w:val="00991A7C"/>
    <w:rsid w:val="00992F7E"/>
    <w:rsid w:val="0099362F"/>
    <w:rsid w:val="00994DA5"/>
    <w:rsid w:val="00996C41"/>
    <w:rsid w:val="009A0548"/>
    <w:rsid w:val="009A0CB2"/>
    <w:rsid w:val="009A4673"/>
    <w:rsid w:val="009A47E5"/>
    <w:rsid w:val="009A699F"/>
    <w:rsid w:val="009A6F58"/>
    <w:rsid w:val="009B0185"/>
    <w:rsid w:val="009B1123"/>
    <w:rsid w:val="009B1810"/>
    <w:rsid w:val="009B1A9D"/>
    <w:rsid w:val="009B3BDB"/>
    <w:rsid w:val="009B3C7B"/>
    <w:rsid w:val="009B450A"/>
    <w:rsid w:val="009B4EDD"/>
    <w:rsid w:val="009B54A8"/>
    <w:rsid w:val="009C3E2F"/>
    <w:rsid w:val="009C42C2"/>
    <w:rsid w:val="009C4463"/>
    <w:rsid w:val="009C5336"/>
    <w:rsid w:val="009C5715"/>
    <w:rsid w:val="009D3432"/>
    <w:rsid w:val="009D3DCF"/>
    <w:rsid w:val="009D6B69"/>
    <w:rsid w:val="009E04FD"/>
    <w:rsid w:val="009E1F7F"/>
    <w:rsid w:val="009F0CBC"/>
    <w:rsid w:val="009F2468"/>
    <w:rsid w:val="009F399A"/>
    <w:rsid w:val="009F45D1"/>
    <w:rsid w:val="009F5D2A"/>
    <w:rsid w:val="009F6AA6"/>
    <w:rsid w:val="00A017FF"/>
    <w:rsid w:val="00A025B3"/>
    <w:rsid w:val="00A03102"/>
    <w:rsid w:val="00A07242"/>
    <w:rsid w:val="00A07E1C"/>
    <w:rsid w:val="00A11C9A"/>
    <w:rsid w:val="00A11FB6"/>
    <w:rsid w:val="00A12C37"/>
    <w:rsid w:val="00A2047F"/>
    <w:rsid w:val="00A20FDC"/>
    <w:rsid w:val="00A22A53"/>
    <w:rsid w:val="00A26C6D"/>
    <w:rsid w:val="00A2732E"/>
    <w:rsid w:val="00A27555"/>
    <w:rsid w:val="00A27E56"/>
    <w:rsid w:val="00A31749"/>
    <w:rsid w:val="00A3308F"/>
    <w:rsid w:val="00A34C27"/>
    <w:rsid w:val="00A3703D"/>
    <w:rsid w:val="00A41649"/>
    <w:rsid w:val="00A45020"/>
    <w:rsid w:val="00A452E3"/>
    <w:rsid w:val="00A479D8"/>
    <w:rsid w:val="00A47C72"/>
    <w:rsid w:val="00A50848"/>
    <w:rsid w:val="00A527C3"/>
    <w:rsid w:val="00A611E3"/>
    <w:rsid w:val="00A71EB1"/>
    <w:rsid w:val="00A72835"/>
    <w:rsid w:val="00A75BE5"/>
    <w:rsid w:val="00A76902"/>
    <w:rsid w:val="00A76BAF"/>
    <w:rsid w:val="00A7762F"/>
    <w:rsid w:val="00A77665"/>
    <w:rsid w:val="00A80C6D"/>
    <w:rsid w:val="00A8259E"/>
    <w:rsid w:val="00A842BB"/>
    <w:rsid w:val="00A86A8F"/>
    <w:rsid w:val="00A8799B"/>
    <w:rsid w:val="00A93C79"/>
    <w:rsid w:val="00A93E60"/>
    <w:rsid w:val="00A95A51"/>
    <w:rsid w:val="00AA36E5"/>
    <w:rsid w:val="00AA3CDE"/>
    <w:rsid w:val="00AA4BB7"/>
    <w:rsid w:val="00AA62CA"/>
    <w:rsid w:val="00AA643A"/>
    <w:rsid w:val="00AB1B3C"/>
    <w:rsid w:val="00AB30E2"/>
    <w:rsid w:val="00AB5AA1"/>
    <w:rsid w:val="00AB7A9A"/>
    <w:rsid w:val="00AC5987"/>
    <w:rsid w:val="00AC6BBC"/>
    <w:rsid w:val="00AC7528"/>
    <w:rsid w:val="00AD184E"/>
    <w:rsid w:val="00AD30B1"/>
    <w:rsid w:val="00AD3451"/>
    <w:rsid w:val="00AD5634"/>
    <w:rsid w:val="00AE1B00"/>
    <w:rsid w:val="00AE3185"/>
    <w:rsid w:val="00AE4C8F"/>
    <w:rsid w:val="00AF0178"/>
    <w:rsid w:val="00AF2CFB"/>
    <w:rsid w:val="00AF457A"/>
    <w:rsid w:val="00AF4F51"/>
    <w:rsid w:val="00AF778A"/>
    <w:rsid w:val="00B00197"/>
    <w:rsid w:val="00B00958"/>
    <w:rsid w:val="00B02E99"/>
    <w:rsid w:val="00B04E3B"/>
    <w:rsid w:val="00B1036F"/>
    <w:rsid w:val="00B10699"/>
    <w:rsid w:val="00B12F76"/>
    <w:rsid w:val="00B149F4"/>
    <w:rsid w:val="00B17B3D"/>
    <w:rsid w:val="00B17CFB"/>
    <w:rsid w:val="00B20C2F"/>
    <w:rsid w:val="00B22253"/>
    <w:rsid w:val="00B30264"/>
    <w:rsid w:val="00B31D27"/>
    <w:rsid w:val="00B35A10"/>
    <w:rsid w:val="00B36434"/>
    <w:rsid w:val="00B40A02"/>
    <w:rsid w:val="00B46C72"/>
    <w:rsid w:val="00B5060A"/>
    <w:rsid w:val="00B50872"/>
    <w:rsid w:val="00B50916"/>
    <w:rsid w:val="00B52B1F"/>
    <w:rsid w:val="00B6544D"/>
    <w:rsid w:val="00B65BE5"/>
    <w:rsid w:val="00B66008"/>
    <w:rsid w:val="00B674D0"/>
    <w:rsid w:val="00B678E6"/>
    <w:rsid w:val="00B71138"/>
    <w:rsid w:val="00B71746"/>
    <w:rsid w:val="00B7369A"/>
    <w:rsid w:val="00B75D0F"/>
    <w:rsid w:val="00B77DBF"/>
    <w:rsid w:val="00B86256"/>
    <w:rsid w:val="00B87629"/>
    <w:rsid w:val="00B906AC"/>
    <w:rsid w:val="00B91D54"/>
    <w:rsid w:val="00B92A30"/>
    <w:rsid w:val="00B94C05"/>
    <w:rsid w:val="00B9505D"/>
    <w:rsid w:val="00B95CD5"/>
    <w:rsid w:val="00B968D8"/>
    <w:rsid w:val="00BA1A63"/>
    <w:rsid w:val="00BA79BF"/>
    <w:rsid w:val="00BB3138"/>
    <w:rsid w:val="00BB3549"/>
    <w:rsid w:val="00BB3C11"/>
    <w:rsid w:val="00BB5567"/>
    <w:rsid w:val="00BB6232"/>
    <w:rsid w:val="00BB7BAA"/>
    <w:rsid w:val="00BC0CB3"/>
    <w:rsid w:val="00BC2266"/>
    <w:rsid w:val="00BC2E5F"/>
    <w:rsid w:val="00BC5278"/>
    <w:rsid w:val="00BC5E38"/>
    <w:rsid w:val="00BC654E"/>
    <w:rsid w:val="00BD0A3C"/>
    <w:rsid w:val="00BD5CB4"/>
    <w:rsid w:val="00BD5ECC"/>
    <w:rsid w:val="00BD6BF4"/>
    <w:rsid w:val="00BD7C93"/>
    <w:rsid w:val="00BD7D69"/>
    <w:rsid w:val="00BE2973"/>
    <w:rsid w:val="00BE76FF"/>
    <w:rsid w:val="00BF22BB"/>
    <w:rsid w:val="00BF6CD9"/>
    <w:rsid w:val="00C04D6D"/>
    <w:rsid w:val="00C05349"/>
    <w:rsid w:val="00C06EB9"/>
    <w:rsid w:val="00C07EBB"/>
    <w:rsid w:val="00C128BC"/>
    <w:rsid w:val="00C1402F"/>
    <w:rsid w:val="00C15A88"/>
    <w:rsid w:val="00C16833"/>
    <w:rsid w:val="00C17A93"/>
    <w:rsid w:val="00C2102F"/>
    <w:rsid w:val="00C21E5A"/>
    <w:rsid w:val="00C26929"/>
    <w:rsid w:val="00C3059E"/>
    <w:rsid w:val="00C337FF"/>
    <w:rsid w:val="00C33EB0"/>
    <w:rsid w:val="00C41202"/>
    <w:rsid w:val="00C43AB8"/>
    <w:rsid w:val="00C44DEC"/>
    <w:rsid w:val="00C500A2"/>
    <w:rsid w:val="00C5055A"/>
    <w:rsid w:val="00C50C5F"/>
    <w:rsid w:val="00C51FCE"/>
    <w:rsid w:val="00C52362"/>
    <w:rsid w:val="00C53ED3"/>
    <w:rsid w:val="00C55167"/>
    <w:rsid w:val="00C556F9"/>
    <w:rsid w:val="00C614DB"/>
    <w:rsid w:val="00C6167F"/>
    <w:rsid w:val="00C63645"/>
    <w:rsid w:val="00C644C3"/>
    <w:rsid w:val="00C67650"/>
    <w:rsid w:val="00C7086F"/>
    <w:rsid w:val="00C71084"/>
    <w:rsid w:val="00C7125E"/>
    <w:rsid w:val="00C72234"/>
    <w:rsid w:val="00C72A58"/>
    <w:rsid w:val="00C733DF"/>
    <w:rsid w:val="00C75F69"/>
    <w:rsid w:val="00C76365"/>
    <w:rsid w:val="00C827B5"/>
    <w:rsid w:val="00C856A5"/>
    <w:rsid w:val="00C86528"/>
    <w:rsid w:val="00C873C3"/>
    <w:rsid w:val="00C9000B"/>
    <w:rsid w:val="00C90ADF"/>
    <w:rsid w:val="00C91230"/>
    <w:rsid w:val="00C9259A"/>
    <w:rsid w:val="00CA045F"/>
    <w:rsid w:val="00CA0836"/>
    <w:rsid w:val="00CA0D16"/>
    <w:rsid w:val="00CA35A9"/>
    <w:rsid w:val="00CA6555"/>
    <w:rsid w:val="00CA7DCD"/>
    <w:rsid w:val="00CA7FC2"/>
    <w:rsid w:val="00CB0863"/>
    <w:rsid w:val="00CB0A5C"/>
    <w:rsid w:val="00CB16A2"/>
    <w:rsid w:val="00CB1855"/>
    <w:rsid w:val="00CB399A"/>
    <w:rsid w:val="00CB3DA9"/>
    <w:rsid w:val="00CB4160"/>
    <w:rsid w:val="00CC2066"/>
    <w:rsid w:val="00CC733F"/>
    <w:rsid w:val="00CC784B"/>
    <w:rsid w:val="00CD0768"/>
    <w:rsid w:val="00CD0852"/>
    <w:rsid w:val="00CD08F1"/>
    <w:rsid w:val="00CD1195"/>
    <w:rsid w:val="00CD1A4E"/>
    <w:rsid w:val="00CD20E7"/>
    <w:rsid w:val="00CD3894"/>
    <w:rsid w:val="00CD73DE"/>
    <w:rsid w:val="00CE0B6D"/>
    <w:rsid w:val="00CE2050"/>
    <w:rsid w:val="00CE36CA"/>
    <w:rsid w:val="00CF3553"/>
    <w:rsid w:val="00CF4182"/>
    <w:rsid w:val="00CF5A9D"/>
    <w:rsid w:val="00CF5C6C"/>
    <w:rsid w:val="00CF5EB0"/>
    <w:rsid w:val="00CF6021"/>
    <w:rsid w:val="00CF7457"/>
    <w:rsid w:val="00CF7C15"/>
    <w:rsid w:val="00D0450E"/>
    <w:rsid w:val="00D05864"/>
    <w:rsid w:val="00D07621"/>
    <w:rsid w:val="00D12E80"/>
    <w:rsid w:val="00D142E2"/>
    <w:rsid w:val="00D15438"/>
    <w:rsid w:val="00D156AE"/>
    <w:rsid w:val="00D17324"/>
    <w:rsid w:val="00D17A16"/>
    <w:rsid w:val="00D20E4F"/>
    <w:rsid w:val="00D23840"/>
    <w:rsid w:val="00D264AE"/>
    <w:rsid w:val="00D27C86"/>
    <w:rsid w:val="00D30ECA"/>
    <w:rsid w:val="00D3107B"/>
    <w:rsid w:val="00D34CE2"/>
    <w:rsid w:val="00D403F6"/>
    <w:rsid w:val="00D40864"/>
    <w:rsid w:val="00D43ADE"/>
    <w:rsid w:val="00D4415B"/>
    <w:rsid w:val="00D4416C"/>
    <w:rsid w:val="00D451BF"/>
    <w:rsid w:val="00D47E14"/>
    <w:rsid w:val="00D52933"/>
    <w:rsid w:val="00D54A08"/>
    <w:rsid w:val="00D6117C"/>
    <w:rsid w:val="00D61FEA"/>
    <w:rsid w:val="00D65C57"/>
    <w:rsid w:val="00D6678B"/>
    <w:rsid w:val="00D66B48"/>
    <w:rsid w:val="00D71CAA"/>
    <w:rsid w:val="00D71D4E"/>
    <w:rsid w:val="00D73D49"/>
    <w:rsid w:val="00D753C2"/>
    <w:rsid w:val="00D76439"/>
    <w:rsid w:val="00D7669B"/>
    <w:rsid w:val="00D82232"/>
    <w:rsid w:val="00D87533"/>
    <w:rsid w:val="00D9017A"/>
    <w:rsid w:val="00DA0456"/>
    <w:rsid w:val="00DA0882"/>
    <w:rsid w:val="00DA2015"/>
    <w:rsid w:val="00DA2711"/>
    <w:rsid w:val="00DA2757"/>
    <w:rsid w:val="00DA30D0"/>
    <w:rsid w:val="00DA3B3A"/>
    <w:rsid w:val="00DB1060"/>
    <w:rsid w:val="00DB23F0"/>
    <w:rsid w:val="00DB29C2"/>
    <w:rsid w:val="00DB390C"/>
    <w:rsid w:val="00DB4478"/>
    <w:rsid w:val="00DB60C1"/>
    <w:rsid w:val="00DB6DD6"/>
    <w:rsid w:val="00DB7C96"/>
    <w:rsid w:val="00DC0011"/>
    <w:rsid w:val="00DC0B23"/>
    <w:rsid w:val="00DC433F"/>
    <w:rsid w:val="00DC48E4"/>
    <w:rsid w:val="00DD240F"/>
    <w:rsid w:val="00DD2A43"/>
    <w:rsid w:val="00DD2B56"/>
    <w:rsid w:val="00DD50CC"/>
    <w:rsid w:val="00DD5339"/>
    <w:rsid w:val="00DD69E1"/>
    <w:rsid w:val="00DD6FEC"/>
    <w:rsid w:val="00DE409E"/>
    <w:rsid w:val="00DE4236"/>
    <w:rsid w:val="00DE5BEC"/>
    <w:rsid w:val="00DE7028"/>
    <w:rsid w:val="00DF0B57"/>
    <w:rsid w:val="00DF487C"/>
    <w:rsid w:val="00DF7250"/>
    <w:rsid w:val="00DF7525"/>
    <w:rsid w:val="00DF77A8"/>
    <w:rsid w:val="00E01D70"/>
    <w:rsid w:val="00E02D3C"/>
    <w:rsid w:val="00E02E42"/>
    <w:rsid w:val="00E065C0"/>
    <w:rsid w:val="00E06BAC"/>
    <w:rsid w:val="00E06F58"/>
    <w:rsid w:val="00E07D74"/>
    <w:rsid w:val="00E1589A"/>
    <w:rsid w:val="00E20E4F"/>
    <w:rsid w:val="00E230F5"/>
    <w:rsid w:val="00E24865"/>
    <w:rsid w:val="00E24A41"/>
    <w:rsid w:val="00E24C9E"/>
    <w:rsid w:val="00E267E0"/>
    <w:rsid w:val="00E26A5D"/>
    <w:rsid w:val="00E26B20"/>
    <w:rsid w:val="00E27A5E"/>
    <w:rsid w:val="00E35CC8"/>
    <w:rsid w:val="00E376E7"/>
    <w:rsid w:val="00E42A55"/>
    <w:rsid w:val="00E43C76"/>
    <w:rsid w:val="00E4625A"/>
    <w:rsid w:val="00E5066E"/>
    <w:rsid w:val="00E51291"/>
    <w:rsid w:val="00E5269D"/>
    <w:rsid w:val="00E53764"/>
    <w:rsid w:val="00E53FB9"/>
    <w:rsid w:val="00E57FB5"/>
    <w:rsid w:val="00E603C4"/>
    <w:rsid w:val="00E60D31"/>
    <w:rsid w:val="00E63359"/>
    <w:rsid w:val="00E64BA0"/>
    <w:rsid w:val="00E65177"/>
    <w:rsid w:val="00E65921"/>
    <w:rsid w:val="00E71C7F"/>
    <w:rsid w:val="00E7525F"/>
    <w:rsid w:val="00E77D03"/>
    <w:rsid w:val="00E87703"/>
    <w:rsid w:val="00E927FB"/>
    <w:rsid w:val="00E94923"/>
    <w:rsid w:val="00E94BA7"/>
    <w:rsid w:val="00E957BC"/>
    <w:rsid w:val="00E96C45"/>
    <w:rsid w:val="00EA16A3"/>
    <w:rsid w:val="00EA221E"/>
    <w:rsid w:val="00EA2ED4"/>
    <w:rsid w:val="00EA30D4"/>
    <w:rsid w:val="00EA37C7"/>
    <w:rsid w:val="00EA46A5"/>
    <w:rsid w:val="00EB6A59"/>
    <w:rsid w:val="00EC0051"/>
    <w:rsid w:val="00EC3D3C"/>
    <w:rsid w:val="00EC5AA7"/>
    <w:rsid w:val="00ED0BE9"/>
    <w:rsid w:val="00ED367A"/>
    <w:rsid w:val="00ED75A6"/>
    <w:rsid w:val="00ED75EF"/>
    <w:rsid w:val="00EE0DE8"/>
    <w:rsid w:val="00EE1434"/>
    <w:rsid w:val="00EE3640"/>
    <w:rsid w:val="00EE6FDE"/>
    <w:rsid w:val="00EF05B7"/>
    <w:rsid w:val="00EF2B8C"/>
    <w:rsid w:val="00EF7FE9"/>
    <w:rsid w:val="00F0024E"/>
    <w:rsid w:val="00F051D9"/>
    <w:rsid w:val="00F05BC7"/>
    <w:rsid w:val="00F10BF3"/>
    <w:rsid w:val="00F115D3"/>
    <w:rsid w:val="00F127FD"/>
    <w:rsid w:val="00F13A31"/>
    <w:rsid w:val="00F213B2"/>
    <w:rsid w:val="00F22F0F"/>
    <w:rsid w:val="00F243A6"/>
    <w:rsid w:val="00F24492"/>
    <w:rsid w:val="00F247CC"/>
    <w:rsid w:val="00F30743"/>
    <w:rsid w:val="00F361F9"/>
    <w:rsid w:val="00F40224"/>
    <w:rsid w:val="00F41F07"/>
    <w:rsid w:val="00F43B79"/>
    <w:rsid w:val="00F450BB"/>
    <w:rsid w:val="00F4553B"/>
    <w:rsid w:val="00F47FF2"/>
    <w:rsid w:val="00F51ED0"/>
    <w:rsid w:val="00F544F8"/>
    <w:rsid w:val="00F54E2C"/>
    <w:rsid w:val="00F60334"/>
    <w:rsid w:val="00F61118"/>
    <w:rsid w:val="00F66653"/>
    <w:rsid w:val="00F66C7E"/>
    <w:rsid w:val="00F7311B"/>
    <w:rsid w:val="00F76221"/>
    <w:rsid w:val="00F76D4E"/>
    <w:rsid w:val="00F7783F"/>
    <w:rsid w:val="00F80EFB"/>
    <w:rsid w:val="00F92946"/>
    <w:rsid w:val="00F95281"/>
    <w:rsid w:val="00F95F40"/>
    <w:rsid w:val="00F97016"/>
    <w:rsid w:val="00F97832"/>
    <w:rsid w:val="00FA54B6"/>
    <w:rsid w:val="00FA6267"/>
    <w:rsid w:val="00FB35DE"/>
    <w:rsid w:val="00FB3DA8"/>
    <w:rsid w:val="00FB6D3B"/>
    <w:rsid w:val="00FB6D3D"/>
    <w:rsid w:val="00FC554A"/>
    <w:rsid w:val="00FC5F5C"/>
    <w:rsid w:val="00FC7969"/>
    <w:rsid w:val="00FD2CCD"/>
    <w:rsid w:val="00FD3E91"/>
    <w:rsid w:val="00FD415B"/>
    <w:rsid w:val="00FD5F81"/>
    <w:rsid w:val="00FD72CC"/>
    <w:rsid w:val="00FD79D4"/>
    <w:rsid w:val="00FD7B51"/>
    <w:rsid w:val="00FE0FCE"/>
    <w:rsid w:val="00FE13F5"/>
    <w:rsid w:val="00FE1F3B"/>
    <w:rsid w:val="00FE3BBC"/>
    <w:rsid w:val="00FE4A38"/>
    <w:rsid w:val="00FE63C1"/>
    <w:rsid w:val="00FF2B65"/>
    <w:rsid w:val="00FF2C7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C4297733-B733-480E-941E-D0F0B7493B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EndNoteBibliographyChar">
    <w:name w:val="EndNote Bibliography Char"/>
    <w:basedOn w:val="DefaultParagraphFont"/>
    <w:link w:val="EndNoteBibliography"/>
    <w:qFormat/>
    <w:rsid w:val="00A07E1C"/>
    <w:rPr>
      <w:rFonts w:ascii="Calibri" w:hAnsi="Calibri" w:cs="Times New Roman"/>
      <w:color w:val="00000A"/>
    </w:rPr>
  </w:style>
  <w:style w:type="paragraph" w:customStyle="1" w:styleId="EndNoteBibliography">
    <w:name w:val="EndNote Bibliography"/>
    <w:basedOn w:val="Normal"/>
    <w:link w:val="EndNoteBibliographyChar"/>
    <w:qFormat/>
    <w:rsid w:val="00A07E1C"/>
    <w:pPr>
      <w:spacing w:after="200" w:line="240" w:lineRule="auto"/>
    </w:pPr>
    <w:rPr>
      <w:rFonts w:ascii="Calibri" w:hAnsi="Calibri" w:cs="Times New Roman"/>
      <w:color w:val="00000A"/>
    </w:rPr>
  </w:style>
  <w:style w:type="character" w:styleId="Hyperlink">
    <w:name w:val="Hyperlink"/>
    <w:basedOn w:val="DefaultParagraphFont"/>
    <w:uiPriority w:val="99"/>
    <w:unhideWhenUsed/>
    <w:rsid w:val="00092EDF"/>
    <w:rPr>
      <w:color w:val="0563C1" w:themeColor="hyperlink"/>
      <w:u w:val="single"/>
    </w:rPr>
  </w:style>
  <w:style w:type="paragraph" w:styleId="Header">
    <w:name w:val="header"/>
    <w:basedOn w:val="Normal"/>
    <w:link w:val="HeaderChar"/>
    <w:uiPriority w:val="99"/>
    <w:unhideWhenUsed/>
    <w:rsid w:val="00E20E4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20E4F"/>
  </w:style>
  <w:style w:type="paragraph" w:styleId="Footer">
    <w:name w:val="footer"/>
    <w:basedOn w:val="Normal"/>
    <w:link w:val="FooterChar"/>
    <w:uiPriority w:val="99"/>
    <w:unhideWhenUsed/>
    <w:rsid w:val="00E20E4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20E4F"/>
  </w:style>
  <w:style w:type="paragraph" w:styleId="ListParagraph">
    <w:name w:val="List Paragraph"/>
    <w:basedOn w:val="Normal"/>
    <w:uiPriority w:val="34"/>
    <w:qFormat/>
    <w:rsid w:val="00AB30E2"/>
    <w:pPr>
      <w:ind w:left="720"/>
      <w:contextualSpacing/>
    </w:pPr>
  </w:style>
  <w:style w:type="character" w:styleId="FollowedHyperlink">
    <w:name w:val="FollowedHyperlink"/>
    <w:basedOn w:val="DefaultParagraphFont"/>
    <w:uiPriority w:val="99"/>
    <w:semiHidden/>
    <w:unhideWhenUsed/>
    <w:rsid w:val="00333203"/>
    <w:rPr>
      <w:color w:val="954F72" w:themeColor="followedHyperlink"/>
      <w:u w:val="single"/>
    </w:rPr>
  </w:style>
  <w:style w:type="table" w:styleId="PlainTable2">
    <w:name w:val="Plain Table 2"/>
    <w:basedOn w:val="TableNormal"/>
    <w:uiPriority w:val="42"/>
    <w:rsid w:val="008B50C1"/>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8602824">
      <w:bodyDiv w:val="1"/>
      <w:marLeft w:val="0"/>
      <w:marRight w:val="0"/>
      <w:marTop w:val="0"/>
      <w:marBottom w:val="0"/>
      <w:divBdr>
        <w:top w:val="none" w:sz="0" w:space="0" w:color="auto"/>
        <w:left w:val="none" w:sz="0" w:space="0" w:color="auto"/>
        <w:bottom w:val="none" w:sz="0" w:space="0" w:color="auto"/>
        <w:right w:val="none" w:sz="0" w:space="0" w:color="auto"/>
      </w:divBdr>
    </w:div>
    <w:div w:id="181357267">
      <w:bodyDiv w:val="1"/>
      <w:marLeft w:val="0"/>
      <w:marRight w:val="0"/>
      <w:marTop w:val="0"/>
      <w:marBottom w:val="0"/>
      <w:divBdr>
        <w:top w:val="none" w:sz="0" w:space="0" w:color="auto"/>
        <w:left w:val="none" w:sz="0" w:space="0" w:color="auto"/>
        <w:bottom w:val="none" w:sz="0" w:space="0" w:color="auto"/>
        <w:right w:val="none" w:sz="0" w:space="0" w:color="auto"/>
      </w:divBdr>
    </w:div>
    <w:div w:id="221839416">
      <w:bodyDiv w:val="1"/>
      <w:marLeft w:val="0"/>
      <w:marRight w:val="0"/>
      <w:marTop w:val="0"/>
      <w:marBottom w:val="0"/>
      <w:divBdr>
        <w:top w:val="none" w:sz="0" w:space="0" w:color="auto"/>
        <w:left w:val="none" w:sz="0" w:space="0" w:color="auto"/>
        <w:bottom w:val="none" w:sz="0" w:space="0" w:color="auto"/>
        <w:right w:val="none" w:sz="0" w:space="0" w:color="auto"/>
      </w:divBdr>
    </w:div>
    <w:div w:id="469517487">
      <w:bodyDiv w:val="1"/>
      <w:marLeft w:val="0"/>
      <w:marRight w:val="0"/>
      <w:marTop w:val="0"/>
      <w:marBottom w:val="0"/>
      <w:divBdr>
        <w:top w:val="none" w:sz="0" w:space="0" w:color="auto"/>
        <w:left w:val="none" w:sz="0" w:space="0" w:color="auto"/>
        <w:bottom w:val="none" w:sz="0" w:space="0" w:color="auto"/>
        <w:right w:val="none" w:sz="0" w:space="0" w:color="auto"/>
      </w:divBdr>
    </w:div>
    <w:div w:id="668142651">
      <w:bodyDiv w:val="1"/>
      <w:marLeft w:val="0"/>
      <w:marRight w:val="0"/>
      <w:marTop w:val="0"/>
      <w:marBottom w:val="0"/>
      <w:divBdr>
        <w:top w:val="none" w:sz="0" w:space="0" w:color="auto"/>
        <w:left w:val="none" w:sz="0" w:space="0" w:color="auto"/>
        <w:bottom w:val="none" w:sz="0" w:space="0" w:color="auto"/>
        <w:right w:val="none" w:sz="0" w:space="0" w:color="auto"/>
      </w:divBdr>
    </w:div>
    <w:div w:id="692263780">
      <w:bodyDiv w:val="1"/>
      <w:marLeft w:val="0"/>
      <w:marRight w:val="0"/>
      <w:marTop w:val="0"/>
      <w:marBottom w:val="0"/>
      <w:divBdr>
        <w:top w:val="none" w:sz="0" w:space="0" w:color="auto"/>
        <w:left w:val="none" w:sz="0" w:space="0" w:color="auto"/>
        <w:bottom w:val="none" w:sz="0" w:space="0" w:color="auto"/>
        <w:right w:val="none" w:sz="0" w:space="0" w:color="auto"/>
      </w:divBdr>
    </w:div>
    <w:div w:id="773479209">
      <w:bodyDiv w:val="1"/>
      <w:marLeft w:val="0"/>
      <w:marRight w:val="0"/>
      <w:marTop w:val="0"/>
      <w:marBottom w:val="0"/>
      <w:divBdr>
        <w:top w:val="none" w:sz="0" w:space="0" w:color="auto"/>
        <w:left w:val="none" w:sz="0" w:space="0" w:color="auto"/>
        <w:bottom w:val="none" w:sz="0" w:space="0" w:color="auto"/>
        <w:right w:val="none" w:sz="0" w:space="0" w:color="auto"/>
      </w:divBdr>
    </w:div>
    <w:div w:id="802315009">
      <w:bodyDiv w:val="1"/>
      <w:marLeft w:val="0"/>
      <w:marRight w:val="0"/>
      <w:marTop w:val="0"/>
      <w:marBottom w:val="0"/>
      <w:divBdr>
        <w:top w:val="none" w:sz="0" w:space="0" w:color="auto"/>
        <w:left w:val="none" w:sz="0" w:space="0" w:color="auto"/>
        <w:bottom w:val="none" w:sz="0" w:space="0" w:color="auto"/>
        <w:right w:val="none" w:sz="0" w:space="0" w:color="auto"/>
      </w:divBdr>
    </w:div>
    <w:div w:id="1080565410">
      <w:bodyDiv w:val="1"/>
      <w:marLeft w:val="0"/>
      <w:marRight w:val="0"/>
      <w:marTop w:val="0"/>
      <w:marBottom w:val="0"/>
      <w:divBdr>
        <w:top w:val="none" w:sz="0" w:space="0" w:color="auto"/>
        <w:left w:val="none" w:sz="0" w:space="0" w:color="auto"/>
        <w:bottom w:val="none" w:sz="0" w:space="0" w:color="auto"/>
        <w:right w:val="none" w:sz="0" w:space="0" w:color="auto"/>
      </w:divBdr>
    </w:div>
    <w:div w:id="1180270494">
      <w:bodyDiv w:val="1"/>
      <w:marLeft w:val="0"/>
      <w:marRight w:val="0"/>
      <w:marTop w:val="0"/>
      <w:marBottom w:val="0"/>
      <w:divBdr>
        <w:top w:val="none" w:sz="0" w:space="0" w:color="auto"/>
        <w:left w:val="none" w:sz="0" w:space="0" w:color="auto"/>
        <w:bottom w:val="none" w:sz="0" w:space="0" w:color="auto"/>
        <w:right w:val="none" w:sz="0" w:space="0" w:color="auto"/>
      </w:divBdr>
    </w:div>
    <w:div w:id="1207377512">
      <w:bodyDiv w:val="1"/>
      <w:marLeft w:val="0"/>
      <w:marRight w:val="0"/>
      <w:marTop w:val="0"/>
      <w:marBottom w:val="0"/>
      <w:divBdr>
        <w:top w:val="none" w:sz="0" w:space="0" w:color="auto"/>
        <w:left w:val="none" w:sz="0" w:space="0" w:color="auto"/>
        <w:bottom w:val="none" w:sz="0" w:space="0" w:color="auto"/>
        <w:right w:val="none" w:sz="0" w:space="0" w:color="auto"/>
      </w:divBdr>
    </w:div>
    <w:div w:id="1305812296">
      <w:bodyDiv w:val="1"/>
      <w:marLeft w:val="0"/>
      <w:marRight w:val="0"/>
      <w:marTop w:val="0"/>
      <w:marBottom w:val="0"/>
      <w:divBdr>
        <w:top w:val="none" w:sz="0" w:space="0" w:color="auto"/>
        <w:left w:val="none" w:sz="0" w:space="0" w:color="auto"/>
        <w:bottom w:val="none" w:sz="0" w:space="0" w:color="auto"/>
        <w:right w:val="none" w:sz="0" w:space="0" w:color="auto"/>
      </w:divBdr>
    </w:div>
    <w:div w:id="1405684191">
      <w:bodyDiv w:val="1"/>
      <w:marLeft w:val="0"/>
      <w:marRight w:val="0"/>
      <w:marTop w:val="0"/>
      <w:marBottom w:val="0"/>
      <w:divBdr>
        <w:top w:val="none" w:sz="0" w:space="0" w:color="auto"/>
        <w:left w:val="none" w:sz="0" w:space="0" w:color="auto"/>
        <w:bottom w:val="none" w:sz="0" w:space="0" w:color="auto"/>
        <w:right w:val="none" w:sz="0" w:space="0" w:color="auto"/>
      </w:divBdr>
    </w:div>
    <w:div w:id="1465002973">
      <w:bodyDiv w:val="1"/>
      <w:marLeft w:val="0"/>
      <w:marRight w:val="0"/>
      <w:marTop w:val="0"/>
      <w:marBottom w:val="0"/>
      <w:divBdr>
        <w:top w:val="none" w:sz="0" w:space="0" w:color="auto"/>
        <w:left w:val="none" w:sz="0" w:space="0" w:color="auto"/>
        <w:bottom w:val="none" w:sz="0" w:space="0" w:color="auto"/>
        <w:right w:val="none" w:sz="0" w:space="0" w:color="auto"/>
      </w:divBdr>
    </w:div>
    <w:div w:id="1539735022">
      <w:bodyDiv w:val="1"/>
      <w:marLeft w:val="0"/>
      <w:marRight w:val="0"/>
      <w:marTop w:val="0"/>
      <w:marBottom w:val="0"/>
      <w:divBdr>
        <w:top w:val="none" w:sz="0" w:space="0" w:color="auto"/>
        <w:left w:val="none" w:sz="0" w:space="0" w:color="auto"/>
        <w:bottom w:val="none" w:sz="0" w:space="0" w:color="auto"/>
        <w:right w:val="none" w:sz="0" w:space="0" w:color="auto"/>
      </w:divBdr>
    </w:div>
    <w:div w:id="1571504186">
      <w:bodyDiv w:val="1"/>
      <w:marLeft w:val="0"/>
      <w:marRight w:val="0"/>
      <w:marTop w:val="0"/>
      <w:marBottom w:val="0"/>
      <w:divBdr>
        <w:top w:val="none" w:sz="0" w:space="0" w:color="auto"/>
        <w:left w:val="none" w:sz="0" w:space="0" w:color="auto"/>
        <w:bottom w:val="none" w:sz="0" w:space="0" w:color="auto"/>
        <w:right w:val="none" w:sz="0" w:space="0" w:color="auto"/>
      </w:divBdr>
    </w:div>
    <w:div w:id="1709796784">
      <w:bodyDiv w:val="1"/>
      <w:marLeft w:val="0"/>
      <w:marRight w:val="0"/>
      <w:marTop w:val="0"/>
      <w:marBottom w:val="0"/>
      <w:divBdr>
        <w:top w:val="none" w:sz="0" w:space="0" w:color="auto"/>
        <w:left w:val="none" w:sz="0" w:space="0" w:color="auto"/>
        <w:bottom w:val="none" w:sz="0" w:space="0" w:color="auto"/>
        <w:right w:val="none" w:sz="0" w:space="0" w:color="auto"/>
      </w:divBdr>
    </w:div>
    <w:div w:id="17715084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genlighttech@gmail.com" TargetMode="Externa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styles" Target="styles.xml"/><Relationship Id="rId16"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2.bin"/><Relationship Id="rId5" Type="http://schemas.openxmlformats.org/officeDocument/2006/relationships/footnotes" Target="footnotes.xml"/><Relationship Id="rId15" Type="http://schemas.openxmlformats.org/officeDocument/2006/relationships/footer" Target="footer2.xml"/><Relationship Id="rId10" Type="http://schemas.openxmlformats.org/officeDocument/2006/relationships/image" Target="media/image2.emf"/><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27</TotalTime>
  <Pages>20</Pages>
  <Words>5463</Words>
  <Characters>31142</Characters>
  <Application>Microsoft Office Word</Application>
  <DocSecurity>0</DocSecurity>
  <Lines>259</Lines>
  <Paragraphs>73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36532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Guennadi Glinskii</dc:creator>
  <cp:keywords/>
  <dc:description/>
  <cp:lastModifiedBy>Guennadi Glinskii</cp:lastModifiedBy>
  <cp:revision>17</cp:revision>
  <cp:lastPrinted>2023-08-08T08:22:00Z</cp:lastPrinted>
  <dcterms:created xsi:type="dcterms:W3CDTF">2024-10-31T02:38:00Z</dcterms:created>
  <dcterms:modified xsi:type="dcterms:W3CDTF">2024-11-03T03:38:00Z</dcterms:modified>
</cp:coreProperties>
</file>